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13" w:rsidRDefault="00EC3013" w:rsidP="00150FA7">
      <w:r>
        <w:t xml:space="preserve">AN ACTUARIAL PERSPECTIVE ON </w:t>
      </w:r>
      <w:r w:rsidR="007368E7">
        <w:t xml:space="preserve">HEALTHCARE EXPENDITURE </w:t>
      </w:r>
      <w:r w:rsidR="00747A7C" w:rsidRPr="00EC15CA">
        <w:t>IN THE LAST YEAR OF LIFE</w:t>
      </w:r>
    </w:p>
    <w:p w:rsidR="00CA5018" w:rsidRPr="00EC15CA" w:rsidRDefault="001E77DC" w:rsidP="00150FA7">
      <w:r w:rsidRPr="00EC15CA">
        <w:t xml:space="preserve">By </w:t>
      </w:r>
      <w:r w:rsidR="00EC3013">
        <w:t xml:space="preserve">Shivani Ramjee and </w:t>
      </w:r>
      <w:proofErr w:type="spellStart"/>
      <w:r w:rsidR="00747A7C" w:rsidRPr="00EC15CA">
        <w:t>Matan</w:t>
      </w:r>
      <w:proofErr w:type="spellEnd"/>
      <w:r w:rsidR="00747A7C" w:rsidRPr="00EC15CA">
        <w:t xml:space="preserve"> Abraham</w:t>
      </w:r>
    </w:p>
    <w:p w:rsidR="0067601A" w:rsidRPr="00DE6AFA" w:rsidRDefault="00EC3013" w:rsidP="00211B15">
      <w:pPr>
        <w:pStyle w:val="abstract"/>
        <w:spacing w:line="240" w:lineRule="auto"/>
        <w:jc w:val="left"/>
        <w:rPr>
          <w:lang w:val="en-ZA"/>
        </w:rPr>
      </w:pPr>
      <w:r>
        <w:rPr>
          <w:lang w:val="en-ZA"/>
        </w:rPr>
        <w:t>To be p</w:t>
      </w:r>
      <w:r w:rsidR="0067601A" w:rsidRPr="00DE6AFA">
        <w:rPr>
          <w:lang w:val="en-ZA"/>
        </w:rPr>
        <w:t xml:space="preserve">resented at </w:t>
      </w:r>
      <w:r>
        <w:rPr>
          <w:lang w:val="en-ZA"/>
        </w:rPr>
        <w:t>ICA2014</w:t>
      </w:r>
    </w:p>
    <w:p w:rsidR="00CA5018" w:rsidRPr="001E77DC" w:rsidRDefault="00CA5018" w:rsidP="00150FA7"/>
    <w:p w:rsidR="00CA5018" w:rsidRPr="00F26530" w:rsidRDefault="00CA5018" w:rsidP="00150FA7">
      <w:pPr>
        <w:rPr>
          <w:caps/>
        </w:rPr>
      </w:pPr>
      <w:r w:rsidRPr="00F26530">
        <w:rPr>
          <w:caps/>
        </w:rPr>
        <w:t>Abstract</w:t>
      </w:r>
    </w:p>
    <w:p w:rsidR="0081288A" w:rsidRDefault="00366F21" w:rsidP="003C4CE6">
      <w:pPr>
        <w:jc w:val="both"/>
      </w:pPr>
      <w:r w:rsidRPr="001E77DC">
        <w:t xml:space="preserve">The aim of this paper is to </w:t>
      </w:r>
      <w:r w:rsidR="00EC3013">
        <w:t>highlight the key methodological considerations in an investigation into</w:t>
      </w:r>
      <w:r w:rsidR="00747A7C">
        <w:t xml:space="preserve"> the</w:t>
      </w:r>
      <w:r w:rsidR="00747A7C" w:rsidRPr="00747A7C">
        <w:t xml:space="preserve"> costs incurred by </w:t>
      </w:r>
      <w:r w:rsidR="00EC3013">
        <w:t xml:space="preserve">health insurers </w:t>
      </w:r>
      <w:r w:rsidR="00A76908">
        <w:t xml:space="preserve">arising from the </w:t>
      </w:r>
      <w:r w:rsidR="00747A7C" w:rsidRPr="00747A7C">
        <w:t xml:space="preserve">provision of benefits during the 12 months preceding a </w:t>
      </w:r>
      <w:r w:rsidR="00747A7C">
        <w:t>beneficiary</w:t>
      </w:r>
      <w:r w:rsidR="00A76908">
        <w:t>’</w:t>
      </w:r>
      <w:r w:rsidR="00747A7C" w:rsidRPr="00747A7C">
        <w:t>s death.</w:t>
      </w:r>
      <w:r w:rsidR="0050719F">
        <w:t xml:space="preserve"> </w:t>
      </w:r>
      <w:r w:rsidR="0081288A">
        <w:t>A South African dataset is used to illustrate the suggested methodology.</w:t>
      </w:r>
    </w:p>
    <w:p w:rsidR="0050719F" w:rsidRPr="0050719F" w:rsidRDefault="00A76908" w:rsidP="003C4CE6">
      <w:pPr>
        <w:jc w:val="both"/>
      </w:pPr>
      <w:r>
        <w:t xml:space="preserve">There are two </w:t>
      </w:r>
      <w:r w:rsidR="0050719F" w:rsidRPr="0050719F">
        <w:t xml:space="preserve">main </w:t>
      </w:r>
      <w:r w:rsidR="00423904">
        <w:t xml:space="preserve">types </w:t>
      </w:r>
      <w:r w:rsidR="0050719F" w:rsidRPr="0050719F">
        <w:t>of investigation</w:t>
      </w:r>
      <w:r w:rsidR="00423904">
        <w:t xml:space="preserve"> that are discussed</w:t>
      </w:r>
      <w:r w:rsidR="0050719F" w:rsidRPr="0050719F">
        <w:t xml:space="preserve">. First, </w:t>
      </w:r>
      <w:r w:rsidR="00423904">
        <w:t xml:space="preserve">the comparison of </w:t>
      </w:r>
      <w:r w:rsidR="0050719F" w:rsidRPr="0050719F">
        <w:t xml:space="preserve">costs in the last year of life </w:t>
      </w:r>
      <w:r>
        <w:t xml:space="preserve">to costs in earlier </w:t>
      </w:r>
      <w:r w:rsidR="0050719F" w:rsidRPr="0050719F">
        <w:t xml:space="preserve">years prior to death. Second, </w:t>
      </w:r>
      <w:r w:rsidR="00423904">
        <w:t xml:space="preserve">the comparison of </w:t>
      </w:r>
      <w:r>
        <w:t xml:space="preserve">decedent and </w:t>
      </w:r>
      <w:r w:rsidR="0050719F" w:rsidRPr="007A5833">
        <w:t>survivor costs.</w:t>
      </w:r>
      <w:r w:rsidR="003764F4" w:rsidRPr="007A5833">
        <w:t xml:space="preserve"> </w:t>
      </w:r>
      <w:r w:rsidR="003C4CE6" w:rsidRPr="007A5833">
        <w:t>Within each investigation further detailed analyses were performed with particular emphasis on t</w:t>
      </w:r>
      <w:r w:rsidR="003764F4" w:rsidRPr="007A5833">
        <w:t>he</w:t>
      </w:r>
      <w:r w:rsidR="003C4CE6" w:rsidRPr="007A5833">
        <w:t xml:space="preserve"> distribution of</w:t>
      </w:r>
      <w:r w:rsidR="003764F4" w:rsidRPr="007A5833">
        <w:t xml:space="preserve"> last-year-of-life cos</w:t>
      </w:r>
      <w:r w:rsidR="003C4CE6" w:rsidRPr="007A5833">
        <w:t>ts with</w:t>
      </w:r>
      <w:r w:rsidR="003764F4" w:rsidRPr="007A5833">
        <w:t xml:space="preserve"> age</w:t>
      </w:r>
      <w:r w:rsidR="00685D23" w:rsidRPr="007A5833">
        <w:t xml:space="preserve"> and category of expenditure</w:t>
      </w:r>
      <w:r w:rsidR="003C4CE6" w:rsidRPr="007A5833">
        <w:t>.</w:t>
      </w:r>
      <w:r w:rsidR="003764F4">
        <w:t xml:space="preserve"> </w:t>
      </w:r>
    </w:p>
    <w:p w:rsidR="00747A7C" w:rsidRPr="001E77DC" w:rsidRDefault="00747A7C" w:rsidP="00150FA7"/>
    <w:p w:rsidR="00CA5018" w:rsidRPr="001E77DC" w:rsidRDefault="001E77DC" w:rsidP="00150FA7">
      <w:r w:rsidRPr="001E77DC">
        <w:rPr>
          <w:caps/>
        </w:rPr>
        <w:t>KEYWORDS</w:t>
      </w:r>
      <w:r w:rsidR="00CA5018" w:rsidRPr="001E77DC">
        <w:rPr>
          <w:caps/>
        </w:rPr>
        <w:br/>
      </w:r>
      <w:r w:rsidR="00747A7C">
        <w:t xml:space="preserve">Medical </w:t>
      </w:r>
      <w:r w:rsidR="0050719F">
        <w:t>s</w:t>
      </w:r>
      <w:r w:rsidR="00747A7C">
        <w:t xml:space="preserve">chemes, </w:t>
      </w:r>
      <w:r w:rsidR="0050719F">
        <w:t>la</w:t>
      </w:r>
      <w:r w:rsidR="00747A7C">
        <w:t xml:space="preserve">st </w:t>
      </w:r>
      <w:r w:rsidR="0050719F">
        <w:t>y</w:t>
      </w:r>
      <w:r w:rsidR="00747A7C">
        <w:t xml:space="preserve">ear of </w:t>
      </w:r>
      <w:r w:rsidR="0050719F">
        <w:t>l</w:t>
      </w:r>
      <w:r w:rsidR="00747A7C">
        <w:t>ife</w:t>
      </w:r>
      <w:r w:rsidR="003C4CE6">
        <w:t>, decedent costs</w:t>
      </w:r>
    </w:p>
    <w:p w:rsidR="005914FE" w:rsidRDefault="005914FE" w:rsidP="00150FA7"/>
    <w:p w:rsidR="001E77DC" w:rsidRPr="009755D9" w:rsidRDefault="001E77DC" w:rsidP="00150FA7">
      <w:r w:rsidRPr="009755D9">
        <w:t>CONTACT DETAILS</w:t>
      </w:r>
    </w:p>
    <w:p w:rsidR="00F464F9" w:rsidRDefault="005914FE" w:rsidP="00150FA7">
      <w:proofErr w:type="gramStart"/>
      <w:r>
        <w:t>Shivani Ramjee</w:t>
      </w:r>
      <w:r w:rsidRPr="005914FE">
        <w:t>, School of Management Studies, University of Cape Town, Private Bag,</w:t>
      </w:r>
      <w:r>
        <w:t xml:space="preserve"> </w:t>
      </w:r>
      <w:proofErr w:type="spellStart"/>
      <w:r>
        <w:t>Rondebosch</w:t>
      </w:r>
      <w:proofErr w:type="spellEnd"/>
      <w:r w:rsidR="0067601A">
        <w:t>, 7701</w:t>
      </w:r>
      <w:r w:rsidR="00F464F9">
        <w:t>.</w:t>
      </w:r>
      <w:proofErr w:type="gramEnd"/>
      <w:r w:rsidR="00F464F9">
        <w:t xml:space="preserve"> Tel: (021) 650-2478. E-mail: shivani.ramjee@</w:t>
      </w:r>
      <w:r w:rsidR="00F464F9" w:rsidRPr="005914FE">
        <w:t>uct.ac.za</w:t>
      </w:r>
      <w:r w:rsidR="00F464F9">
        <w:t>.</w:t>
      </w:r>
    </w:p>
    <w:p w:rsidR="00983AF9" w:rsidRDefault="0067601A" w:rsidP="00150FA7">
      <w:r w:rsidRPr="005914FE">
        <w:t xml:space="preserve"> </w:t>
      </w:r>
    </w:p>
    <w:p w:rsidR="00625779" w:rsidRDefault="00625779" w:rsidP="00150FA7"/>
    <w:p w:rsidR="00625779" w:rsidRDefault="00625779" w:rsidP="00150FA7"/>
    <w:p w:rsidR="00625779" w:rsidRDefault="00625779" w:rsidP="00150FA7"/>
    <w:p w:rsidR="00625779" w:rsidRDefault="00625779" w:rsidP="00150FA7"/>
    <w:p w:rsidR="00625779" w:rsidRDefault="00625779" w:rsidP="00150FA7"/>
    <w:p w:rsidR="00625779" w:rsidRDefault="00625779" w:rsidP="00150FA7"/>
    <w:p w:rsidR="00625779" w:rsidRDefault="00625779" w:rsidP="00150FA7"/>
    <w:p w:rsidR="00625779" w:rsidRDefault="00625779" w:rsidP="00150FA7"/>
    <w:p w:rsidR="00625779" w:rsidRDefault="00625779" w:rsidP="00150FA7"/>
    <w:p w:rsidR="00625779" w:rsidRDefault="00625779" w:rsidP="00150FA7"/>
    <w:p w:rsidR="003C4CE6" w:rsidRPr="00F464F9" w:rsidRDefault="003C4CE6" w:rsidP="00150FA7"/>
    <w:p w:rsidR="00A504C5" w:rsidRDefault="00F26530" w:rsidP="00150FA7">
      <w:pPr>
        <w:pStyle w:val="ListParagraph"/>
        <w:numPr>
          <w:ilvl w:val="0"/>
          <w:numId w:val="25"/>
        </w:numPr>
      </w:pPr>
      <w:r>
        <w:lastRenderedPageBreak/>
        <w:t>INTRODUCTION</w:t>
      </w:r>
    </w:p>
    <w:p w:rsidR="00A762FD" w:rsidRPr="00A762FD" w:rsidRDefault="003C4CE6" w:rsidP="003C4CE6">
      <w:pPr>
        <w:jc w:val="both"/>
      </w:pPr>
      <w:r>
        <w:t>There currently exists an</w:t>
      </w:r>
      <w:r w:rsidR="00747A7C" w:rsidRPr="00A762FD">
        <w:t xml:space="preserve"> </w:t>
      </w:r>
      <w:r w:rsidRPr="00A762FD">
        <w:t>extensive</w:t>
      </w:r>
      <w:r w:rsidR="00747A7C" w:rsidRPr="00A762FD">
        <w:t xml:space="preserve"> international body of </w:t>
      </w:r>
      <w:r>
        <w:t>research focusing on the examination of</w:t>
      </w:r>
      <w:r w:rsidR="00A504C5" w:rsidRPr="00A762FD">
        <w:t xml:space="preserve"> </w:t>
      </w:r>
      <w:r w:rsidR="004403CE">
        <w:t>healthcare e</w:t>
      </w:r>
      <w:r w:rsidR="00A504C5" w:rsidRPr="00A762FD">
        <w:t>xpenditures incurred by health insurance b</w:t>
      </w:r>
      <w:r w:rsidR="00D82C01" w:rsidRPr="00A762FD">
        <w:t>eneficiaries in their last year of life.</w:t>
      </w:r>
      <w:r w:rsidR="00A762FD" w:rsidRPr="00A762FD">
        <w:t xml:space="preserve"> </w:t>
      </w:r>
      <w:r w:rsidR="009040E7" w:rsidRPr="00A762FD">
        <w:fldChar w:fldCharType="begin"/>
      </w:r>
      <w:r w:rsidR="00A762FD" w:rsidRPr="00A762FD">
        <w:instrText xml:space="preserve"> ADDIN EN.CITE &lt;EndNote&gt;&lt;Cite AuthorYear="1"&gt;&lt;Author&gt;Timmer&lt;/Author&gt;&lt;Year&gt;1971&lt;/Year&gt;&lt;RecNum&gt;30&lt;/RecNum&gt;&lt;DisplayText&gt;Timmer and Kovar (1971)&lt;/DisplayText&gt;&lt;record&gt;&lt;rec-number&gt;30&lt;/rec-number&gt;&lt;foreign-keys&gt;&lt;key app="EN" db-id="x2dxrtfwlt0dd3erpz9va5vq5p5xret9aw5d"&gt;30&lt;/key&gt;&lt;/foreign-keys&gt;&lt;ref-type name="Government Document"&gt;46&lt;/ref-type&gt;&lt;contributors&gt;&lt;authors&gt;&lt;author&gt;Timmer, E.J.&lt;/author&gt;&lt;author&gt;Kovar, M.G.&lt;/author&gt;&lt;/authors&gt;&lt;secondary-authors&gt;&lt;author&gt;Department of Health, Education, and Welfare&lt;/author&gt;&lt;/secondary-authors&gt;&lt;/contributors&gt;&lt;titles&gt;&lt;title&gt;Expenses for Hospital and Institutional Care during the Last Year of Life for Adults Who Died in 1964 or 1965. &lt;/title&gt;&lt;tertiary-title&gt;Series 22&lt;/tertiary-title&gt;&lt;/titles&gt;&lt;volume&gt;Vital and Health Statistics&lt;/volume&gt;&lt;number&gt;11&lt;/number&gt;&lt;dates&gt;&lt;year&gt;1971&lt;/year&gt;&lt;/dates&gt;&lt;pub-location&gt;Hyattsville, Md. U.S.A&lt;/pub-location&gt;&lt;urls&gt;&lt;/urls&gt;&lt;/record&gt;&lt;/Cite&gt;&lt;/EndNote&gt;</w:instrText>
      </w:r>
      <w:r w:rsidR="009040E7" w:rsidRPr="00A762FD">
        <w:fldChar w:fldCharType="separate"/>
      </w:r>
      <w:hyperlink w:anchor="_ENREF_22" w:tooltip="Timmer, 1971 #30" w:history="1">
        <w:r w:rsidR="00423904" w:rsidRPr="00A762FD">
          <w:t>Timmer and Kovar (1971</w:t>
        </w:r>
      </w:hyperlink>
      <w:r w:rsidR="00A762FD" w:rsidRPr="00A762FD">
        <w:t>)</w:t>
      </w:r>
      <w:r w:rsidR="009040E7" w:rsidRPr="00A762FD">
        <w:fldChar w:fldCharType="end"/>
      </w:r>
      <w:r w:rsidR="00A762FD" w:rsidRPr="00A762FD">
        <w:t xml:space="preserve"> published one of the earliest studies on healthcare</w:t>
      </w:r>
      <w:r w:rsidR="004403CE">
        <w:t xml:space="preserve"> costs in the last year of life </w:t>
      </w:r>
      <w:r w:rsidR="00A762FD" w:rsidRPr="00A762FD">
        <w:t>in the US. More than four decades later this topic is still of g</w:t>
      </w:r>
      <w:r w:rsidR="004403CE">
        <w:t xml:space="preserve">reat interest to members of the </w:t>
      </w:r>
      <w:r w:rsidR="00A762FD" w:rsidRPr="00A762FD">
        <w:t>global healthcare industry.</w:t>
      </w:r>
    </w:p>
    <w:p w:rsidR="00326757" w:rsidRDefault="00D82C01" w:rsidP="003C4CE6">
      <w:pPr>
        <w:jc w:val="both"/>
      </w:pPr>
      <w:r>
        <w:t xml:space="preserve">These studies have </w:t>
      </w:r>
      <w:r w:rsidR="00A504C5">
        <w:t>been driven by concern</w:t>
      </w:r>
      <w:r>
        <w:t xml:space="preserve">s over </w:t>
      </w:r>
      <w:r w:rsidR="00A504C5">
        <w:t>the e</w:t>
      </w:r>
      <w:r w:rsidR="004403CE">
        <w:t xml:space="preserve">ffect of ageing (leading to the </w:t>
      </w:r>
      <w:r w:rsidR="00A504C5">
        <w:t xml:space="preserve">postponement of death) on </w:t>
      </w:r>
      <w:r>
        <w:t xml:space="preserve">healthcare expenditure </w:t>
      </w:r>
      <w:r w:rsidR="009040E7">
        <w:fldChar w:fldCharType="begin"/>
      </w:r>
      <w:r w:rsidR="002C10F3">
        <w:instrText xml:space="preserve"> ADDIN EN.CITE &lt;EndNote&gt;&lt;Cite&gt;&lt;Author&gt;BREYER&lt;/Author&gt;&lt;Year&gt;2006&lt;/Year&gt;&lt;RecNum&gt;1&lt;/RecNum&gt;&lt;DisplayText&gt;(Breyer &amp;amp; Felder, 2006)&lt;/DisplayText&gt;&lt;record&gt;&lt;rec-number&gt;1&lt;/rec-number&gt;&lt;foreign-keys&gt;&lt;key app="EN" db-id="x2dxrtfwlt0dd3erpz9va5vq5p5xret9aw5d"&gt;1&lt;/key&gt;&lt;/foreign-keys&gt;&lt;ref-type name="Journal Article"&gt;17&lt;/ref-type&gt;&lt;contributors&gt;&lt;authors&gt;&lt;author&gt;Breyer, F&lt;/author&gt;&lt;author&gt;Felder, S&lt;/author&gt;&lt;/authors&gt;&lt;/contributors&gt;&lt;titles&gt;&lt;title&gt;Life Expectancy and health care expenditures: A new calculation for Germany using the costs of dying&lt;/title&gt;&lt;secondary-title&gt;Health Policy &lt;/secondary-title&gt;&lt;/titles&gt;&lt;periodical&gt;&lt;full-title&gt;Health Policy&lt;/full-title&gt;&lt;/periodical&gt;&lt;pages&gt;178-186&lt;/pages&gt;&lt;volume&gt;75&lt;/volume&gt;&lt;number&gt;2&lt;/number&gt;&lt;dates&gt;&lt;year&gt;2006&lt;/year&gt;&lt;/dates&gt;&lt;urls&gt;&lt;/urls&gt;&lt;/record&gt;&lt;/Cite&gt;&lt;/EndNote&gt;</w:instrText>
      </w:r>
      <w:r w:rsidR="009040E7">
        <w:fldChar w:fldCharType="separate"/>
      </w:r>
      <w:r w:rsidR="002C10F3">
        <w:rPr>
          <w:noProof/>
        </w:rPr>
        <w:t>(</w:t>
      </w:r>
      <w:hyperlink w:anchor="_ENREF_2" w:tooltip="Breyer, 2006 #1" w:history="1">
        <w:r w:rsidR="00423904">
          <w:rPr>
            <w:noProof/>
          </w:rPr>
          <w:t>Breyer &amp; Felder, 2006</w:t>
        </w:r>
      </w:hyperlink>
      <w:r w:rsidR="002C10F3">
        <w:rPr>
          <w:noProof/>
        </w:rPr>
        <w:t>)</w:t>
      </w:r>
      <w:r w:rsidR="009040E7">
        <w:fldChar w:fldCharType="end"/>
      </w:r>
      <w:r>
        <w:t xml:space="preserve">, as well as </w:t>
      </w:r>
      <w:r w:rsidR="004403CE">
        <w:t xml:space="preserve">the </w:t>
      </w:r>
      <w:r w:rsidR="00A504C5">
        <w:t xml:space="preserve">need to predict </w:t>
      </w:r>
      <w:r>
        <w:t>future expenditure</w:t>
      </w:r>
      <w:r w:rsidR="00A504C5">
        <w:t xml:space="preserve"> in light of technological advancement</w:t>
      </w:r>
      <w:r>
        <w:t>s</w:t>
      </w:r>
      <w:r w:rsidR="004403CE">
        <w:t xml:space="preserve"> and the increase in </w:t>
      </w:r>
      <w:r w:rsidR="00A504C5">
        <w:t>demand for medical care</w:t>
      </w:r>
      <w:r w:rsidR="002C10F3">
        <w:t xml:space="preserve"> </w:t>
      </w:r>
      <w:r w:rsidR="009040E7">
        <w:fldChar w:fldCharType="begin"/>
      </w:r>
      <w:r w:rsidR="002C10F3">
        <w:instrText xml:space="preserve"> ADDIN EN.CITE &lt;EndNote&gt;&lt;Cite&gt;&lt;Author&gt;Stearns&lt;/Author&gt;&lt;Year&gt;2004&lt;/Year&gt;&lt;RecNum&gt;2&lt;/RecNum&gt;&lt;DisplayText&gt;(Stearns &amp;amp; Norton, 2004)&lt;/DisplayText&gt;&lt;record&gt;&lt;rec-number&gt;2&lt;/rec-number&gt;&lt;foreign-keys&gt;&lt;key app="EN" db-id="x2dxrtfwlt0dd3erpz9va5vq5p5xret9aw5d"&gt;2&lt;/key&gt;&lt;/foreign-keys&gt;&lt;ref-type name="Journal Article"&gt;17&lt;/ref-type&gt;&lt;contributors&gt;&lt;authors&gt;&lt;author&gt;Stearns, S.C.&lt;/author&gt;&lt;author&gt;Norton, E.C.&lt;/author&gt;&lt;/authors&gt;&lt;/contributors&gt;&lt;titles&gt;&lt;title&gt;Time to include time to death? The future of health care expenditure predictions&lt;/title&gt;&lt;secondary-title&gt;Health Economics &lt;/secondary-title&gt;&lt;/titles&gt;&lt;periodical&gt;&lt;full-title&gt;Health Economics&lt;/full-title&gt;&lt;/periodical&gt;&lt;pages&gt;315-327&lt;/pages&gt;&lt;volume&gt;13&lt;/volume&gt;&lt;number&gt;4&lt;/number&gt;&lt;dates&gt;&lt;year&gt;2004&lt;/year&gt;&lt;/dates&gt;&lt;urls&gt;&lt;/urls&gt;&lt;/record&gt;&lt;/Cite&gt;&lt;/EndNote&gt;</w:instrText>
      </w:r>
      <w:r w:rsidR="009040E7">
        <w:fldChar w:fldCharType="separate"/>
      </w:r>
      <w:r w:rsidR="002C10F3">
        <w:rPr>
          <w:noProof/>
        </w:rPr>
        <w:t>(</w:t>
      </w:r>
      <w:hyperlink w:anchor="_ENREF_20" w:tooltip="Stearns, 2004 #2" w:history="1">
        <w:r w:rsidR="00423904">
          <w:rPr>
            <w:noProof/>
          </w:rPr>
          <w:t>Stearns &amp; Norton, 2004</w:t>
        </w:r>
      </w:hyperlink>
      <w:r w:rsidR="002C10F3">
        <w:rPr>
          <w:noProof/>
        </w:rPr>
        <w:t>)</w:t>
      </w:r>
      <w:r w:rsidR="009040E7">
        <w:fldChar w:fldCharType="end"/>
      </w:r>
      <w:r w:rsidR="00A504C5">
        <w:t xml:space="preserve">. </w:t>
      </w:r>
      <w:r w:rsidR="002C10F3">
        <w:t>Muc</w:t>
      </w:r>
      <w:r w:rsidR="004403CE">
        <w:t xml:space="preserve">h of the international research </w:t>
      </w:r>
      <w:r w:rsidR="002C10F3">
        <w:t>indicates</w:t>
      </w:r>
      <w:r w:rsidR="00A504C5">
        <w:t xml:space="preserve"> a general concern over medical resources being di</w:t>
      </w:r>
      <w:r w:rsidR="004403CE">
        <w:t xml:space="preserve">rected towards health insurance </w:t>
      </w:r>
      <w:r w:rsidR="00A504C5">
        <w:t>beneficiaries in their last years of life</w:t>
      </w:r>
      <w:r w:rsidR="002C10F3">
        <w:t xml:space="preserve"> </w:t>
      </w:r>
      <w:r w:rsidR="009040E7">
        <w:fldChar w:fldCharType="begin"/>
      </w:r>
      <w:r w:rsidR="002C10F3">
        <w:instrText xml:space="preserve"> ADDIN EN.CITE &lt;EndNote&gt;&lt;Cite&gt;&lt;Author&gt;Scitovsky&lt;/Author&gt;&lt;Year&gt;1994&lt;/Year&gt;&lt;RecNum&gt;3&lt;/RecNum&gt;&lt;DisplayText&gt;(Scitovsky, 1994)&lt;/DisplayText&gt;&lt;record&gt;&lt;rec-number&gt;3&lt;/rec-number&gt;&lt;foreign-keys&gt;&lt;key app="EN" db-id="x2dxrtfwlt0dd3erpz9va5vq5p5xret9aw5d"&gt;3&lt;/key&gt;&lt;/foreign-keys&gt;&lt;ref-type name="Journal Article"&gt;17&lt;/ref-type&gt;&lt;contributors&gt;&lt;authors&gt;&lt;author&gt;Scitovsky, A.A.&lt;/author&gt;&lt;/authors&gt;&lt;/contributors&gt;&lt;titles&gt;&lt;title&gt;“The High Cost of Dying” Revisited&lt;/title&gt;&lt;secondary-title&gt;The Millbank Quarterly &lt;/secondary-title&gt;&lt;/titles&gt;&lt;periodical&gt;&lt;full-title&gt;The Millbank Quarterly&lt;/full-title&gt;&lt;/periodical&gt;&lt;pages&gt;561-591&lt;/pages&gt;&lt;volume&gt;72&lt;/volume&gt;&lt;number&gt;4&lt;/number&gt;&lt;dates&gt;&lt;year&gt;1994&lt;/year&gt;&lt;/dates&gt;&lt;urls&gt;&lt;/urls&gt;&lt;/record&gt;&lt;/Cite&gt;&lt;/EndNote&gt;</w:instrText>
      </w:r>
      <w:r w:rsidR="009040E7">
        <w:fldChar w:fldCharType="separate"/>
      </w:r>
      <w:r w:rsidR="002C10F3">
        <w:rPr>
          <w:noProof/>
        </w:rPr>
        <w:t>(</w:t>
      </w:r>
      <w:hyperlink w:anchor="_ENREF_18" w:tooltip="Scitovsky, 1994 #3" w:history="1">
        <w:r w:rsidR="00423904">
          <w:rPr>
            <w:noProof/>
          </w:rPr>
          <w:t>Scitovsky, 1994</w:t>
        </w:r>
      </w:hyperlink>
      <w:r w:rsidR="002C10F3">
        <w:rPr>
          <w:noProof/>
        </w:rPr>
        <w:t>)</w:t>
      </w:r>
      <w:r w:rsidR="009040E7">
        <w:fldChar w:fldCharType="end"/>
      </w:r>
      <w:r w:rsidR="00A504C5">
        <w:t xml:space="preserve">. </w:t>
      </w:r>
    </w:p>
    <w:p w:rsidR="0050719F" w:rsidRDefault="00A762FD" w:rsidP="003C4CE6">
      <w:pPr>
        <w:jc w:val="both"/>
      </w:pPr>
      <w:r>
        <w:rPr>
          <w:spacing w:val="-2"/>
        </w:rPr>
        <w:t xml:space="preserve">Two main areas surrounding healthcare costs in the last year of life are examined </w:t>
      </w:r>
      <w:r w:rsidR="004403CE">
        <w:t xml:space="preserve">here. The </w:t>
      </w:r>
      <w:r>
        <w:t xml:space="preserve">first involves the determination of average healthcare costs in the last </w:t>
      </w:r>
      <w:r w:rsidR="004403CE">
        <w:rPr>
          <w:w w:val="103"/>
        </w:rPr>
        <w:t xml:space="preserve">year of life. The </w:t>
      </w:r>
      <w:r>
        <w:rPr>
          <w:w w:val="103"/>
        </w:rPr>
        <w:t>average last</w:t>
      </w:r>
      <w:r w:rsidR="003A177C">
        <w:rPr>
          <w:w w:val="103"/>
        </w:rPr>
        <w:t>-</w:t>
      </w:r>
      <w:r>
        <w:rPr>
          <w:w w:val="103"/>
        </w:rPr>
        <w:t>year</w:t>
      </w:r>
      <w:r w:rsidR="003A177C">
        <w:rPr>
          <w:w w:val="103"/>
        </w:rPr>
        <w:t>-</w:t>
      </w:r>
      <w:r>
        <w:rPr>
          <w:w w:val="103"/>
        </w:rPr>
        <w:t>of</w:t>
      </w:r>
      <w:r w:rsidR="003A177C">
        <w:rPr>
          <w:w w:val="103"/>
        </w:rPr>
        <w:t>-</w:t>
      </w:r>
      <w:r>
        <w:rPr>
          <w:w w:val="103"/>
        </w:rPr>
        <w:t>life costs are compared with the average costs</w:t>
      </w:r>
      <w:r w:rsidR="00211B15">
        <w:rPr>
          <w:w w:val="103"/>
        </w:rPr>
        <w:t xml:space="preserve"> </w:t>
      </w:r>
      <w:r>
        <w:rPr>
          <w:w w:val="103"/>
        </w:rPr>
        <w:t>in</w:t>
      </w:r>
      <w:r w:rsidR="00211B15">
        <w:rPr>
          <w:w w:val="103"/>
        </w:rPr>
        <w:t xml:space="preserve"> </w:t>
      </w:r>
      <w:r>
        <w:rPr>
          <w:w w:val="103"/>
        </w:rPr>
        <w:t>preceding</w:t>
      </w:r>
      <w:r w:rsidR="00211B15">
        <w:rPr>
          <w:w w:val="103"/>
        </w:rPr>
        <w:t xml:space="preserve"> </w:t>
      </w:r>
      <w:r>
        <w:rPr>
          <w:w w:val="103"/>
        </w:rPr>
        <w:t>years</w:t>
      </w:r>
      <w:r w:rsidR="004403CE">
        <w:rPr>
          <w:w w:val="103"/>
        </w:rPr>
        <w:t xml:space="preserve"> </w:t>
      </w:r>
      <w:r>
        <w:rPr>
          <w:w w:val="103"/>
        </w:rPr>
        <w:t>before</w:t>
      </w:r>
      <w:r w:rsidR="00211B15">
        <w:rPr>
          <w:w w:val="103"/>
        </w:rPr>
        <w:t xml:space="preserve"> </w:t>
      </w:r>
      <w:r>
        <w:rPr>
          <w:w w:val="103"/>
        </w:rPr>
        <w:t>death</w:t>
      </w:r>
      <w:r w:rsidR="00211B15">
        <w:rPr>
          <w:w w:val="103"/>
        </w:rPr>
        <w:t xml:space="preserve"> </w:t>
      </w:r>
      <w:r>
        <w:rPr>
          <w:w w:val="103"/>
        </w:rPr>
        <w:t>with</w:t>
      </w:r>
      <w:r w:rsidR="00211B15">
        <w:rPr>
          <w:w w:val="103"/>
        </w:rPr>
        <w:t xml:space="preserve"> </w:t>
      </w:r>
      <w:r>
        <w:rPr>
          <w:w w:val="103"/>
        </w:rPr>
        <w:t>the</w:t>
      </w:r>
      <w:r w:rsidR="00211B15">
        <w:rPr>
          <w:w w:val="103"/>
        </w:rPr>
        <w:t xml:space="preserve"> </w:t>
      </w:r>
      <w:r>
        <w:rPr>
          <w:w w:val="103"/>
        </w:rPr>
        <w:t>aim</w:t>
      </w:r>
      <w:r w:rsidR="00211B15">
        <w:rPr>
          <w:w w:val="103"/>
        </w:rPr>
        <w:t xml:space="preserve"> </w:t>
      </w:r>
      <w:r>
        <w:rPr>
          <w:w w:val="103"/>
        </w:rPr>
        <w:t>of</w:t>
      </w:r>
      <w:r w:rsidR="00211B15">
        <w:rPr>
          <w:w w:val="103"/>
        </w:rPr>
        <w:t xml:space="preserve"> </w:t>
      </w:r>
      <w:r>
        <w:rPr>
          <w:w w:val="103"/>
        </w:rPr>
        <w:t>investigating</w:t>
      </w:r>
      <w:r w:rsidR="00211B15">
        <w:rPr>
          <w:w w:val="103"/>
        </w:rPr>
        <w:t xml:space="preserve"> </w:t>
      </w:r>
      <w:r>
        <w:rPr>
          <w:w w:val="103"/>
        </w:rPr>
        <w:t xml:space="preserve">the </w:t>
      </w:r>
      <w:r>
        <w:t>relationship</w:t>
      </w:r>
      <w:r w:rsidR="004403CE">
        <w:t xml:space="preserve">s that exist between them. This </w:t>
      </w:r>
      <w:r>
        <w:t>part of the investigation also makes similar comparisons acco</w:t>
      </w:r>
      <w:r w:rsidR="004403CE">
        <w:t xml:space="preserve">rding to category of healthcare </w:t>
      </w:r>
      <w:r>
        <w:t>expenditure and age at death.</w:t>
      </w:r>
      <w:r w:rsidR="00211B15">
        <w:t xml:space="preserve"> </w:t>
      </w:r>
      <w:r>
        <w:t xml:space="preserve">In addition, the effectiveness </w:t>
      </w:r>
      <w:r w:rsidR="004403CE">
        <w:t xml:space="preserve">of </w:t>
      </w:r>
      <w:r w:rsidR="003C4CE6">
        <w:t>a disease grouper system</w:t>
      </w:r>
      <w:r>
        <w:t xml:space="preserve"> is considered for the prediction of </w:t>
      </w:r>
      <w:r w:rsidR="0081288A">
        <w:t>health</w:t>
      </w:r>
      <w:r w:rsidR="00423904">
        <w:t xml:space="preserve">care </w:t>
      </w:r>
      <w:r>
        <w:t xml:space="preserve">resource utilisation in </w:t>
      </w:r>
      <w:r w:rsidR="004403CE">
        <w:rPr>
          <w:spacing w:val="-3"/>
        </w:rPr>
        <w:t xml:space="preserve">the </w:t>
      </w:r>
      <w:r>
        <w:rPr>
          <w:spacing w:val="-3"/>
        </w:rPr>
        <w:t>last year of life.</w:t>
      </w:r>
      <w:r w:rsidR="003C4CE6">
        <w:rPr>
          <w:spacing w:val="-3"/>
        </w:rPr>
        <w:t xml:space="preserve"> The disease grouper system considered is the </w:t>
      </w:r>
      <w:r w:rsidR="003C4CE6">
        <w:t>Adjusted Clinical Groups (ACGs) system.</w:t>
      </w:r>
    </w:p>
    <w:p w:rsidR="00423904" w:rsidRDefault="00A762FD" w:rsidP="003C4CE6">
      <w:pPr>
        <w:jc w:val="both"/>
        <w:rPr>
          <w:spacing w:val="-3"/>
        </w:rPr>
      </w:pPr>
      <w:r>
        <w:t>The second area investigated examines the relationship between the healthcare</w:t>
      </w:r>
      <w:r w:rsidR="000A0E24">
        <w:t xml:space="preserve"> </w:t>
      </w:r>
      <w:r>
        <w:rPr>
          <w:spacing w:val="-2"/>
        </w:rPr>
        <w:t>co</w:t>
      </w:r>
      <w:r w:rsidR="004403CE">
        <w:rPr>
          <w:spacing w:val="-2"/>
        </w:rPr>
        <w:t xml:space="preserve">sts of those </w:t>
      </w:r>
      <w:r w:rsidR="000A0E24">
        <w:rPr>
          <w:spacing w:val="-2"/>
        </w:rPr>
        <w:t>beneficiaries</w:t>
      </w:r>
      <w:r>
        <w:rPr>
          <w:spacing w:val="-2"/>
        </w:rPr>
        <w:t xml:space="preserve"> dying (decedent costs) and those surviving (survivor </w:t>
      </w:r>
      <w:r>
        <w:t>costs)</w:t>
      </w:r>
      <w:r w:rsidR="004403CE">
        <w:t xml:space="preserve"> in a particular </w:t>
      </w:r>
      <w:r>
        <w:t>calendar year. The aim of this part of the investigation is t</w:t>
      </w:r>
      <w:r w:rsidR="004403CE">
        <w:t xml:space="preserve">o determine the extent to which </w:t>
      </w:r>
      <w:r>
        <w:t>decedent costs vary from survivor costs within a particular c</w:t>
      </w:r>
      <w:r w:rsidR="004403CE">
        <w:t xml:space="preserve">alendar year. The investigation </w:t>
      </w:r>
      <w:r>
        <w:t xml:space="preserve">also compares decedent and survivor </w:t>
      </w:r>
      <w:r>
        <w:rPr>
          <w:spacing w:val="-3"/>
        </w:rPr>
        <w:t>costs by age and category o</w:t>
      </w:r>
      <w:r w:rsidR="004403CE">
        <w:rPr>
          <w:spacing w:val="-3"/>
        </w:rPr>
        <w:t xml:space="preserve">f expenditure. </w:t>
      </w:r>
    </w:p>
    <w:p w:rsidR="00326757" w:rsidRDefault="00326757" w:rsidP="00685D23">
      <w:pPr>
        <w:jc w:val="both"/>
      </w:pPr>
      <w:r>
        <w:t xml:space="preserve">This research is of interest to </w:t>
      </w:r>
      <w:r w:rsidR="00423904">
        <w:t xml:space="preserve">actuaries </w:t>
      </w:r>
      <w:r>
        <w:t xml:space="preserve">working on </w:t>
      </w:r>
      <w:r w:rsidR="00423904">
        <w:t xml:space="preserve">health insurance </w:t>
      </w:r>
      <w:r>
        <w:t>benefit</w:t>
      </w:r>
      <w:r w:rsidR="00974456">
        <w:t xml:space="preserve"> design</w:t>
      </w:r>
      <w:r w:rsidR="004403CE">
        <w:t xml:space="preserve"> and managed care</w:t>
      </w:r>
      <w:r w:rsidR="00685D23">
        <w:t xml:space="preserve">; </w:t>
      </w:r>
      <w:r w:rsidR="00423904">
        <w:t>particularly interventions targeted at high-r</w:t>
      </w:r>
      <w:r w:rsidR="00685D23">
        <w:t>isk members and palliative care. In addition, this research</w:t>
      </w:r>
      <w:r>
        <w:t xml:space="preserve"> should also be of interest to </w:t>
      </w:r>
      <w:r w:rsidR="00423904">
        <w:t xml:space="preserve">health insurance </w:t>
      </w:r>
      <w:r w:rsidR="00685D23">
        <w:t>regulators considering</w:t>
      </w:r>
      <w:r>
        <w:t xml:space="preserve"> potential benefit package</w:t>
      </w:r>
      <w:r w:rsidR="004403CE">
        <w:t xml:space="preserve">s and the </w:t>
      </w:r>
      <w:r w:rsidR="00B909C6">
        <w:t>costs thereof.</w:t>
      </w:r>
    </w:p>
    <w:p w:rsidR="004403CE" w:rsidRPr="00625779" w:rsidRDefault="00613B31" w:rsidP="00685D23">
      <w:pPr>
        <w:jc w:val="both"/>
      </w:pPr>
      <w:r w:rsidRPr="00625779">
        <w:t>In section 2</w:t>
      </w:r>
      <w:r w:rsidR="004403CE" w:rsidRPr="00625779">
        <w:t xml:space="preserve"> a brief overview of </w:t>
      </w:r>
      <w:r w:rsidR="00423904" w:rsidRPr="00625779">
        <w:t>the last-year-of-life literature</w:t>
      </w:r>
      <w:r w:rsidRPr="00625779">
        <w:t xml:space="preserve"> is provided</w:t>
      </w:r>
      <w:r w:rsidR="00625779" w:rsidRPr="00625779">
        <w:t>, while Section 3 provides some background into last year of life costs in the South African context. Section 4</w:t>
      </w:r>
      <w:r w:rsidR="004403CE" w:rsidRPr="00625779">
        <w:t xml:space="preserve"> contains a description of the data used in the study. The methodology that was used is presented and compared to international studies in se</w:t>
      </w:r>
      <w:r w:rsidR="00625779">
        <w:t>ction 5. Section 6</w:t>
      </w:r>
      <w:r w:rsidR="004403CE" w:rsidRPr="00625779">
        <w:t xml:space="preserve"> comprises the main findings of th</w:t>
      </w:r>
      <w:r w:rsidR="00625779">
        <w:t>e study. In section 7</w:t>
      </w:r>
      <w:r w:rsidR="004403CE" w:rsidRPr="00625779">
        <w:t xml:space="preserve"> these results</w:t>
      </w:r>
      <w:r w:rsidRPr="00625779">
        <w:t xml:space="preserve"> are discussed and various conclusions are made</w:t>
      </w:r>
      <w:r w:rsidR="004403CE" w:rsidRPr="00625779">
        <w:t>.</w:t>
      </w:r>
    </w:p>
    <w:p w:rsidR="0081288A" w:rsidRDefault="0081288A" w:rsidP="00150FA7">
      <w:pPr>
        <w:pStyle w:val="ListParagraph"/>
        <w:numPr>
          <w:ilvl w:val="0"/>
          <w:numId w:val="25"/>
        </w:numPr>
        <w:rPr>
          <w:caps/>
        </w:rPr>
      </w:pPr>
      <w:r>
        <w:rPr>
          <w:caps/>
        </w:rPr>
        <w:t>a review of international literature</w:t>
      </w:r>
    </w:p>
    <w:p w:rsidR="00BF53A1" w:rsidRPr="00A762FD" w:rsidRDefault="00BF53A1" w:rsidP="00685D23">
      <w:pPr>
        <w:jc w:val="both"/>
      </w:pPr>
      <w:r w:rsidRPr="00A762FD">
        <w:t>It should be noted that this investigation will be a retrospectiv</w:t>
      </w:r>
      <w:r>
        <w:t xml:space="preserve">e analysis of costs in the last </w:t>
      </w:r>
      <w:r w:rsidRPr="00A762FD">
        <w:t>year of life. The reader should not infer that healthcare has b</w:t>
      </w:r>
      <w:r>
        <w:t xml:space="preserve">een provided in anticipation of </w:t>
      </w:r>
      <w:r w:rsidRPr="00A762FD">
        <w:t>death</w:t>
      </w:r>
      <w:r>
        <w:t xml:space="preserve"> </w:t>
      </w:r>
      <w:r w:rsidR="009040E7">
        <w:fldChar w:fldCharType="begin"/>
      </w:r>
      <w:r>
        <w:instrText xml:space="preserve"> ADDIN EN.CITE &lt;EndNote&gt;&lt;Cite&gt;&lt;Author&gt;Hogan&lt;/Author&gt;&lt;Year&gt;2001&lt;/Year&gt;&lt;RecNum&gt;13&lt;/RecNum&gt;&lt;DisplayText&gt;(Hogan, Lunney, Gabel &amp;amp; Lynn, 2001)&lt;/DisplayText&gt;&lt;record&gt;&lt;rec-number&gt;13&lt;/rec-number&gt;&lt;foreign-keys&gt;&lt;key app="EN" db-id="x2dxrtfwlt0dd3erpz9va5vq5p5xret9aw5d"&gt;13&lt;/key&gt;&lt;/foreign-keys&gt;&lt;ref-type name="Journal Article"&gt;17&lt;/ref-type&gt;&lt;contributors&gt;&lt;authors&gt;&lt;author&gt;Hogan, C&lt;/author&gt;&lt;author&gt;Lunney, J&lt;/author&gt;&lt;author&gt;Gabel, J&lt;/author&gt;&lt;author&gt;Lynn, J&lt;/author&gt;&lt;/authors&gt;&lt;/contributors&gt;&lt;titles&gt;&lt;title&gt;Medicare beneficiaries&amp;apos; costs of care in the last year of life&lt;/title&gt;&lt;secondary-title&gt;Health Affairs&lt;/secondary-title&gt;&lt;/titles&gt;&lt;periodical&gt;&lt;full-title&gt;Health Affairs&lt;/full-title&gt;&lt;/periodical&gt;&lt;pages&gt;188-195&lt;/pages&gt;&lt;volume&gt;20&lt;/volume&gt;&lt;number&gt;4&lt;/number&gt;&lt;dates&gt;&lt;year&gt;2001&lt;/year&gt;&lt;/dates&gt;&lt;urls&gt;&lt;/urls&gt;&lt;/record&gt;&lt;/Cite&gt;&lt;/EndNote&gt;</w:instrText>
      </w:r>
      <w:r w:rsidR="009040E7">
        <w:fldChar w:fldCharType="separate"/>
      </w:r>
      <w:r>
        <w:rPr>
          <w:noProof/>
        </w:rPr>
        <w:t>(</w:t>
      </w:r>
      <w:hyperlink w:anchor="_ENREF_8" w:tooltip="Hogan, 2001 #13" w:history="1">
        <w:r>
          <w:rPr>
            <w:noProof/>
          </w:rPr>
          <w:t>Hogan, Lunney, Gabel &amp; Lynn, 2001</w:t>
        </w:r>
      </w:hyperlink>
      <w:r>
        <w:rPr>
          <w:noProof/>
        </w:rPr>
        <w:t>)</w:t>
      </w:r>
      <w:r w:rsidR="009040E7">
        <w:fldChar w:fldCharType="end"/>
      </w:r>
      <w:r w:rsidRPr="00A762FD">
        <w:t>. Such an inference may only be</w:t>
      </w:r>
      <w:r>
        <w:t xml:space="preserve"> </w:t>
      </w:r>
      <w:r w:rsidRPr="00A762FD">
        <w:t xml:space="preserve">made </w:t>
      </w:r>
      <w:r>
        <w:t>in investigations pertaining exclusively to terminally-ill patients. This investigation</w:t>
      </w:r>
      <w:r w:rsidR="00685D23">
        <w:t>, however,</w:t>
      </w:r>
      <w:r>
        <w:t xml:space="preserve"> considers </w:t>
      </w:r>
      <w:r w:rsidR="00685D23">
        <w:t>various</w:t>
      </w:r>
      <w:r w:rsidRPr="00A762FD">
        <w:t xml:space="preserve"> causes of death and, therefore, does not deal with </w:t>
      </w:r>
      <w:r>
        <w:t xml:space="preserve">‘the high cost of dying’ but rather with healthcare expenditure at the end of life </w:t>
      </w:r>
      <w:r w:rsidR="009040E7">
        <w:fldChar w:fldCharType="begin"/>
      </w:r>
      <w:r>
        <w:instrText xml:space="preserve"> ADDIN EN.CITE &lt;EndNote&gt;&lt;Cite&gt;&lt;Author&gt;Scitovsky&lt;/Author&gt;&lt;Year&gt;2005&lt;/Year&gt;&lt;RecNum&gt;31&lt;/RecNum&gt;&lt;DisplayText&gt;(Scitovsky, 2005)&lt;/DisplayText&gt;&lt;record&gt;&lt;rec-number&gt;31&lt;/rec-number&gt;&lt;foreign-keys&gt;&lt;key app="EN" db-id="x2dxrtfwlt0dd3erpz9va5vq5p5xret9aw5d"&gt;31&lt;/key&gt;&lt;/foreign-keys&gt;&lt;ref-type name="Journal Article"&gt;17&lt;/ref-type&gt;&lt;contributors&gt;&lt;authors&gt;&lt;author&gt;Scitovsky, A.A.&lt;/author&gt;&lt;/authors&gt;&lt;/contributors&gt;&lt;titles&gt;&lt;title&gt;The high cost of dying: What do the data show? &lt;/title&gt;&lt;secondary-title&gt;Milbank Quarterly &lt;/secondary-title&gt;&lt;/titles&gt;&lt;periodical&gt;&lt;full-title&gt;Milbank Quarterly&lt;/full-title&gt;&lt;/periodical&gt;&lt;pages&gt;825-41&lt;/pages&gt;&lt;volume&gt;&lt;style face="normal" font="default" size="100%"&gt;83&lt;/style&gt;&lt;style face="normal" font="default" charset="134" size="100%"&gt; &lt;/style&gt;&lt;/volume&gt;&lt;number&gt;4 &lt;/number&gt;&lt;dates&gt;&lt;year&gt;2005&lt;/year&gt;&lt;/dates&gt;&lt;urls&gt;&lt;/urls&gt;&lt;/record&gt;&lt;/Cite&gt;&lt;/EndNote&gt;</w:instrText>
      </w:r>
      <w:r w:rsidR="009040E7">
        <w:fldChar w:fldCharType="separate"/>
      </w:r>
      <w:r>
        <w:rPr>
          <w:noProof/>
        </w:rPr>
        <w:t>(</w:t>
      </w:r>
      <w:hyperlink w:anchor="_ENREF_19" w:tooltip="Scitovsky, 2005 #31" w:history="1">
        <w:r>
          <w:rPr>
            <w:noProof/>
          </w:rPr>
          <w:t>Scitovsky, 2005</w:t>
        </w:r>
      </w:hyperlink>
      <w:r>
        <w:rPr>
          <w:noProof/>
        </w:rPr>
        <w:t>)</w:t>
      </w:r>
      <w:r w:rsidR="009040E7">
        <w:fldChar w:fldCharType="end"/>
      </w:r>
      <w:r w:rsidRPr="00A762FD">
        <w:t xml:space="preserve">. </w:t>
      </w:r>
    </w:p>
    <w:p w:rsidR="007E5911" w:rsidRPr="00BF53A1" w:rsidRDefault="00BF53A1" w:rsidP="00685D23">
      <w:pPr>
        <w:jc w:val="both"/>
      </w:pPr>
      <w:r w:rsidRPr="00BF53A1">
        <w:t>T</w:t>
      </w:r>
      <w:r w:rsidR="007E5911" w:rsidRPr="00BF53A1">
        <w:t>he research reviewed</w:t>
      </w:r>
      <w:r w:rsidR="00685D23">
        <w:t xml:space="preserve"> thus</w:t>
      </w:r>
      <w:r w:rsidR="007E5911" w:rsidRPr="00BF53A1">
        <w:t xml:space="preserve"> fo</w:t>
      </w:r>
      <w:r w:rsidR="00685D23">
        <w:t>cused on retrospective analyses and c</w:t>
      </w:r>
      <w:r w:rsidR="007E5911" w:rsidRPr="00BF53A1">
        <w:t>onsequently, research relating to terminally ill patients was not reviewed</w:t>
      </w:r>
      <w:r w:rsidR="00685D23">
        <w:t>.</w:t>
      </w:r>
      <w:r w:rsidR="007E5911" w:rsidRPr="00BF53A1">
        <w:t xml:space="preserve"> It was, however, evident in a number of </w:t>
      </w:r>
      <w:r w:rsidR="007E5911" w:rsidRPr="00BF53A1">
        <w:lastRenderedPageBreak/>
        <w:t>the reviewed papers that this distinction was not properly considered. As a result, the research assumed to be obtaining results on the cost of dying when</w:t>
      </w:r>
      <w:r w:rsidR="00573D58">
        <w:t>, in fact, healthcare expenditure at the end of life was being investigated</w:t>
      </w:r>
      <w:r w:rsidR="007E5911" w:rsidRPr="00BF53A1">
        <w:t xml:space="preserve"> (Liu and Yang 2002; Emanuel and Emanuel 1994; </w:t>
      </w:r>
      <w:proofErr w:type="spellStart"/>
      <w:r w:rsidR="007E5911" w:rsidRPr="00BF53A1">
        <w:t>Breyer</w:t>
      </w:r>
      <w:proofErr w:type="spellEnd"/>
      <w:r w:rsidR="007E5911" w:rsidRPr="00BF53A1">
        <w:t xml:space="preserve"> and Felder 2006). </w:t>
      </w:r>
    </w:p>
    <w:p w:rsidR="007E5911" w:rsidRPr="00BF53A1" w:rsidRDefault="007E5911" w:rsidP="00BF53A1">
      <w:pPr>
        <w:pStyle w:val="ListParagraph"/>
        <w:numPr>
          <w:ilvl w:val="1"/>
          <w:numId w:val="25"/>
        </w:numPr>
        <w:rPr>
          <w:caps/>
        </w:rPr>
      </w:pPr>
      <w:r w:rsidRPr="00BF53A1">
        <w:rPr>
          <w:caps/>
        </w:rPr>
        <w:t xml:space="preserve">Relationships Investigated </w:t>
      </w:r>
    </w:p>
    <w:p w:rsidR="007E5911" w:rsidRPr="00685D23" w:rsidRDefault="007E5911" w:rsidP="00685D23">
      <w:pPr>
        <w:jc w:val="both"/>
        <w:rPr>
          <w:szCs w:val="24"/>
        </w:rPr>
      </w:pPr>
      <w:r w:rsidRPr="00685D23">
        <w:rPr>
          <w:szCs w:val="24"/>
        </w:rPr>
        <w:t>The research reviewed investigated a wide range of relationships between costs in the last year of life and other variables. The most common relationships investigated were between costs in the last year of life and beneficiaries‘ age at death and gender as well as determining the most costly categories of healthcare expenditure to healthcare providers (</w:t>
      </w:r>
      <w:proofErr w:type="spellStart"/>
      <w:r w:rsidRPr="00685D23">
        <w:rPr>
          <w:szCs w:val="24"/>
        </w:rPr>
        <w:t>Moodley</w:t>
      </w:r>
      <w:proofErr w:type="spellEnd"/>
      <w:r w:rsidRPr="00685D23">
        <w:rPr>
          <w:szCs w:val="24"/>
        </w:rPr>
        <w:t xml:space="preserve"> and McLeod 2001; </w:t>
      </w:r>
      <w:proofErr w:type="spellStart"/>
      <w:r w:rsidRPr="00685D23">
        <w:rPr>
          <w:szCs w:val="24"/>
        </w:rPr>
        <w:t>Wickstrøm</w:t>
      </w:r>
      <w:proofErr w:type="spellEnd"/>
      <w:r w:rsidRPr="00685D23">
        <w:rPr>
          <w:szCs w:val="24"/>
        </w:rPr>
        <w:t xml:space="preserve"> et al. 2002; </w:t>
      </w:r>
      <w:proofErr w:type="spellStart"/>
      <w:r w:rsidRPr="00685D23">
        <w:rPr>
          <w:szCs w:val="24"/>
        </w:rPr>
        <w:t>Scitovsky</w:t>
      </w:r>
      <w:proofErr w:type="spellEnd"/>
      <w:r w:rsidRPr="00685D23">
        <w:rPr>
          <w:szCs w:val="24"/>
        </w:rPr>
        <w:t xml:space="preserve"> 2005; </w:t>
      </w:r>
      <w:proofErr w:type="spellStart"/>
      <w:r w:rsidRPr="00685D23">
        <w:rPr>
          <w:szCs w:val="24"/>
        </w:rPr>
        <w:t>Breyer</w:t>
      </w:r>
      <w:proofErr w:type="spellEnd"/>
      <w:r w:rsidRPr="00685D23">
        <w:rPr>
          <w:szCs w:val="24"/>
        </w:rPr>
        <w:t xml:space="preserve"> and Felder 2006). A number of research papers went a step further and differentiated the costs in the last year of life according to cause of death. This was done by ascertaining cause of death from mortality data on the individuals in the study group. (Polder et al. 2006; Liu and Yang 2002; McCall 1984; </w:t>
      </w:r>
      <w:proofErr w:type="spellStart"/>
      <w:r w:rsidRPr="00685D23">
        <w:rPr>
          <w:szCs w:val="24"/>
        </w:rPr>
        <w:t>Scitovsky</w:t>
      </w:r>
      <w:proofErr w:type="spellEnd"/>
      <w:r w:rsidRPr="00685D23">
        <w:rPr>
          <w:szCs w:val="24"/>
        </w:rPr>
        <w:t xml:space="preserve"> 2005; </w:t>
      </w:r>
      <w:proofErr w:type="spellStart"/>
      <w:r w:rsidRPr="00685D23">
        <w:rPr>
          <w:szCs w:val="24"/>
        </w:rPr>
        <w:t>Calfo</w:t>
      </w:r>
      <w:proofErr w:type="spellEnd"/>
      <w:r w:rsidRPr="00685D23">
        <w:rPr>
          <w:szCs w:val="24"/>
        </w:rPr>
        <w:t xml:space="preserve"> et al. 2008; </w:t>
      </w:r>
      <w:proofErr w:type="spellStart"/>
      <w:r w:rsidRPr="00685D23">
        <w:rPr>
          <w:szCs w:val="24"/>
        </w:rPr>
        <w:t>Roos</w:t>
      </w:r>
      <w:proofErr w:type="spellEnd"/>
      <w:r w:rsidRPr="00685D23">
        <w:rPr>
          <w:szCs w:val="24"/>
        </w:rPr>
        <w:t xml:space="preserve"> et al. 1987; Hogan et al. 2001; Emanuel et al. 2002). Emanuel et al. (2002) and McCall (1984) were able to compared healthcare costs in the last year of life among different geographical locations. In addition, Hogan et al. (2001) were able to compare healthcare costs in the last year of life to different racial groups; a relationship which would be very fitti</w:t>
      </w:r>
      <w:r w:rsidR="00ED4FF8">
        <w:rPr>
          <w:szCs w:val="24"/>
        </w:rPr>
        <w:t>ng in the South African context.</w:t>
      </w:r>
      <w:r w:rsidRPr="00685D23">
        <w:rPr>
          <w:szCs w:val="24"/>
        </w:rPr>
        <w:t xml:space="preserve"> </w:t>
      </w:r>
      <w:r w:rsidR="00ED4FF8">
        <w:rPr>
          <w:szCs w:val="24"/>
        </w:rPr>
        <w:t xml:space="preserve">Unfortunately, due to data restrictions it was not possible to incorporate this into </w:t>
      </w:r>
      <w:r w:rsidR="0041483E">
        <w:rPr>
          <w:szCs w:val="24"/>
        </w:rPr>
        <w:t>this investigation.</w:t>
      </w:r>
    </w:p>
    <w:p w:rsidR="007E5911" w:rsidRPr="00685D23" w:rsidRDefault="007E5911" w:rsidP="00685D23">
      <w:pPr>
        <w:jc w:val="both"/>
        <w:rPr>
          <w:szCs w:val="24"/>
        </w:rPr>
      </w:pPr>
      <w:r w:rsidRPr="00685D23">
        <w:rPr>
          <w:szCs w:val="24"/>
        </w:rPr>
        <w:t xml:space="preserve">Of the research papers reviewed, only </w:t>
      </w:r>
      <w:proofErr w:type="spellStart"/>
      <w:r w:rsidRPr="00685D23">
        <w:rPr>
          <w:szCs w:val="24"/>
        </w:rPr>
        <w:t>Moodley</w:t>
      </w:r>
      <w:proofErr w:type="spellEnd"/>
      <w:r w:rsidRPr="00685D23">
        <w:rPr>
          <w:szCs w:val="24"/>
        </w:rPr>
        <w:t xml:space="preserve"> and McLeod (2001) and </w:t>
      </w:r>
      <w:proofErr w:type="spellStart"/>
      <w:r w:rsidRPr="00685D23">
        <w:rPr>
          <w:szCs w:val="24"/>
        </w:rPr>
        <w:t>Roos</w:t>
      </w:r>
      <w:proofErr w:type="spellEnd"/>
      <w:r w:rsidRPr="00685D23">
        <w:rPr>
          <w:szCs w:val="24"/>
        </w:rPr>
        <w:t xml:space="preserve"> et al. (1987) compared the costs in the last year of life to costs in earlier years prior to death. However, the methods used to achieve this differed. </w:t>
      </w:r>
      <w:proofErr w:type="spellStart"/>
      <w:r w:rsidRPr="00685D23">
        <w:rPr>
          <w:szCs w:val="24"/>
        </w:rPr>
        <w:t>Moodley</w:t>
      </w:r>
      <w:proofErr w:type="spellEnd"/>
      <w:r w:rsidRPr="00685D23">
        <w:rPr>
          <w:szCs w:val="24"/>
        </w:rPr>
        <w:t xml:space="preserve"> and McLeod (2001) determined the ratios between the a</w:t>
      </w:r>
      <w:r w:rsidR="00BF53A1" w:rsidRPr="00685D23">
        <w:rPr>
          <w:szCs w:val="24"/>
        </w:rPr>
        <w:t xml:space="preserve">verage total healthcare costs </w:t>
      </w:r>
      <w:r w:rsidRPr="00685D23">
        <w:rPr>
          <w:szCs w:val="24"/>
        </w:rPr>
        <w:t xml:space="preserve">in the years leading up to death. </w:t>
      </w:r>
      <w:proofErr w:type="spellStart"/>
      <w:r w:rsidR="00685D23">
        <w:rPr>
          <w:szCs w:val="24"/>
        </w:rPr>
        <w:t>Roos</w:t>
      </w:r>
      <w:proofErr w:type="spellEnd"/>
      <w:r w:rsidR="00685D23">
        <w:rPr>
          <w:szCs w:val="24"/>
        </w:rPr>
        <w:t xml:space="preserve"> et al. (1987 p. 234) used </w:t>
      </w:r>
      <w:r w:rsidRPr="00685D23">
        <w:rPr>
          <w:szCs w:val="24"/>
        </w:rPr>
        <w:t xml:space="preserve">least-squares regression to estimate the number of years before death necessary to detect the influence of impending death on healthcare use. </w:t>
      </w:r>
    </w:p>
    <w:p w:rsidR="007E5911" w:rsidRPr="00685D23" w:rsidRDefault="007E5911" w:rsidP="00685D23">
      <w:pPr>
        <w:jc w:val="both"/>
        <w:rPr>
          <w:szCs w:val="24"/>
        </w:rPr>
      </w:pPr>
      <w:r w:rsidRPr="00685D23">
        <w:rPr>
          <w:szCs w:val="24"/>
        </w:rPr>
        <w:t>Another widely investigated relationship was between decedent and survivor costs within a particular calendar year (</w:t>
      </w:r>
      <w:proofErr w:type="spellStart"/>
      <w:r w:rsidRPr="00685D23">
        <w:rPr>
          <w:szCs w:val="24"/>
        </w:rPr>
        <w:t>Moodley</w:t>
      </w:r>
      <w:proofErr w:type="spellEnd"/>
      <w:r w:rsidRPr="00685D23">
        <w:rPr>
          <w:szCs w:val="24"/>
        </w:rPr>
        <w:t xml:space="preserve"> and </w:t>
      </w:r>
      <w:proofErr w:type="spellStart"/>
      <w:r w:rsidRPr="00685D23">
        <w:rPr>
          <w:szCs w:val="24"/>
        </w:rPr>
        <w:t>Mcleod</w:t>
      </w:r>
      <w:proofErr w:type="spellEnd"/>
      <w:r w:rsidRPr="00685D23">
        <w:rPr>
          <w:szCs w:val="24"/>
        </w:rPr>
        <w:t xml:space="preserve"> 2001; </w:t>
      </w:r>
      <w:proofErr w:type="spellStart"/>
      <w:r w:rsidRPr="00685D23">
        <w:rPr>
          <w:szCs w:val="24"/>
        </w:rPr>
        <w:t>Scitovsky</w:t>
      </w:r>
      <w:proofErr w:type="spellEnd"/>
      <w:r w:rsidRPr="00685D23">
        <w:rPr>
          <w:szCs w:val="24"/>
        </w:rPr>
        <w:t xml:space="preserve"> 2005; Hogan et al. 2001; </w:t>
      </w:r>
      <w:proofErr w:type="spellStart"/>
      <w:r w:rsidRPr="00685D23">
        <w:rPr>
          <w:szCs w:val="24"/>
        </w:rPr>
        <w:t>Calfo</w:t>
      </w:r>
      <w:proofErr w:type="spellEnd"/>
      <w:r w:rsidRPr="00685D23">
        <w:rPr>
          <w:szCs w:val="24"/>
        </w:rPr>
        <w:t xml:space="preserve"> et al. 2008; </w:t>
      </w:r>
      <w:proofErr w:type="spellStart"/>
      <w:r w:rsidRPr="00685D23">
        <w:rPr>
          <w:szCs w:val="24"/>
        </w:rPr>
        <w:t>Wickstrøm</w:t>
      </w:r>
      <w:proofErr w:type="spellEnd"/>
      <w:r w:rsidRPr="00685D23">
        <w:rPr>
          <w:szCs w:val="24"/>
        </w:rPr>
        <w:t xml:space="preserve"> et al. 2002; </w:t>
      </w:r>
      <w:proofErr w:type="spellStart"/>
      <w:r w:rsidRPr="00685D23">
        <w:rPr>
          <w:szCs w:val="24"/>
        </w:rPr>
        <w:t>Roos</w:t>
      </w:r>
      <w:proofErr w:type="spellEnd"/>
      <w:r w:rsidRPr="00685D23">
        <w:rPr>
          <w:szCs w:val="24"/>
        </w:rPr>
        <w:t xml:space="preserve"> et al. 1987; Polder et al. 2006; McCall 1984; Liu and Yang 2002; Emanuel and Emanuel 1994). </w:t>
      </w:r>
      <w:proofErr w:type="spellStart"/>
      <w:r w:rsidRPr="00685D23">
        <w:rPr>
          <w:szCs w:val="24"/>
        </w:rPr>
        <w:t>Lubitz</w:t>
      </w:r>
      <w:proofErr w:type="spellEnd"/>
      <w:r w:rsidRPr="00685D23">
        <w:rPr>
          <w:szCs w:val="24"/>
        </w:rPr>
        <w:t xml:space="preserve"> and Riley (1993; 2010) further analysed this relationship in order to uncover trends in these costs over time. </w:t>
      </w:r>
    </w:p>
    <w:p w:rsidR="007E5911" w:rsidRPr="00BF53A1" w:rsidRDefault="007E5911" w:rsidP="00BF53A1">
      <w:pPr>
        <w:pStyle w:val="ListParagraph"/>
        <w:numPr>
          <w:ilvl w:val="1"/>
          <w:numId w:val="25"/>
        </w:numPr>
        <w:rPr>
          <w:caps/>
        </w:rPr>
      </w:pPr>
      <w:r w:rsidRPr="00BF53A1">
        <w:rPr>
          <w:caps/>
        </w:rPr>
        <w:t xml:space="preserve">Exposure </w:t>
      </w:r>
    </w:p>
    <w:p w:rsidR="007E5911" w:rsidRPr="00685D23" w:rsidRDefault="007E5911" w:rsidP="00685D23">
      <w:pPr>
        <w:jc w:val="both"/>
        <w:rPr>
          <w:szCs w:val="24"/>
        </w:rPr>
      </w:pPr>
      <w:r w:rsidRPr="00685D23">
        <w:rPr>
          <w:szCs w:val="24"/>
        </w:rPr>
        <w:t>Two methods emerged from the reviewed research papers to determine the decedent and survivor costs in a particular calendar year. The first involves identifying the individuals within the study group that were decedents in the calendar year in question. All the healthcare costs of these individuals were allocated to decedent costs. All other healthcare costs were allocated to survivor costs. The exposure period as a decedent or survivor was calculated in a similar fashion. The portion of the calendar year before the decedent died was allocated to decedent exposure. A full twelve months was allocated to the survivor exposure for all the individuals that survived from the beginning to the end of the calendar year (</w:t>
      </w:r>
      <w:proofErr w:type="spellStart"/>
      <w:r w:rsidRPr="00685D23">
        <w:rPr>
          <w:szCs w:val="24"/>
        </w:rPr>
        <w:t>Moodley</w:t>
      </w:r>
      <w:proofErr w:type="spellEnd"/>
      <w:r w:rsidRPr="00685D23">
        <w:rPr>
          <w:szCs w:val="24"/>
        </w:rPr>
        <w:t xml:space="preserve"> and McLeod 2001). </w:t>
      </w:r>
    </w:p>
    <w:p w:rsidR="007E5911" w:rsidRPr="00685D23" w:rsidRDefault="007E5911" w:rsidP="00685D23">
      <w:pPr>
        <w:jc w:val="both"/>
        <w:rPr>
          <w:szCs w:val="24"/>
        </w:rPr>
      </w:pPr>
      <w:r w:rsidRPr="00685D23">
        <w:rPr>
          <w:szCs w:val="24"/>
        </w:rPr>
        <w:t xml:space="preserve">To explain the second method followed, it is best to describe how costs were allocated for the various scenarios that arose in the investigation. If a beneficiary survived from the calendar year under consideration to the end of the subsequent calendar year, then all costs relating to that beneficiary were assigned to survivor costs. If a beneficiary died within the calendar year then all the costs relating to that beneficiary were assigned to decedent costs. In addition, if a </w:t>
      </w:r>
      <w:r w:rsidRPr="00685D23">
        <w:rPr>
          <w:szCs w:val="24"/>
        </w:rPr>
        <w:lastRenderedPageBreak/>
        <w:t>beneficiary died in the subsequent year to the considered calendar yea</w:t>
      </w:r>
      <w:r w:rsidR="00BF53A1" w:rsidRPr="00685D23">
        <w:rPr>
          <w:szCs w:val="24"/>
        </w:rPr>
        <w:t xml:space="preserve">r then a portion of the costs </w:t>
      </w:r>
      <w:r w:rsidRPr="00685D23">
        <w:rPr>
          <w:szCs w:val="24"/>
        </w:rPr>
        <w:t>arising in that calendar year were assigned to decedent costs and the rest to survivor costs. The above portion was determined by the number of months within the considered calendar year that the beneficiary was in the last year of life. The exposure period that a beneficiary was classified as either a survivor or decedent was determined in the same way (</w:t>
      </w:r>
      <w:proofErr w:type="spellStart"/>
      <w:r w:rsidRPr="00685D23">
        <w:rPr>
          <w:szCs w:val="24"/>
        </w:rPr>
        <w:t>Lubitz</w:t>
      </w:r>
      <w:proofErr w:type="spellEnd"/>
      <w:r w:rsidRPr="00685D23">
        <w:rPr>
          <w:szCs w:val="24"/>
        </w:rPr>
        <w:t xml:space="preserve"> and Riley 1993; </w:t>
      </w:r>
      <w:proofErr w:type="spellStart"/>
      <w:r w:rsidRPr="00685D23">
        <w:rPr>
          <w:szCs w:val="24"/>
        </w:rPr>
        <w:t>Lubitz</w:t>
      </w:r>
      <w:proofErr w:type="spellEnd"/>
      <w:r w:rsidRPr="00685D23">
        <w:rPr>
          <w:szCs w:val="24"/>
        </w:rPr>
        <w:t xml:space="preserve"> and Riley 2010; </w:t>
      </w:r>
      <w:proofErr w:type="spellStart"/>
      <w:r w:rsidRPr="00685D23">
        <w:rPr>
          <w:szCs w:val="24"/>
        </w:rPr>
        <w:t>Calfo</w:t>
      </w:r>
      <w:proofErr w:type="spellEnd"/>
      <w:r w:rsidRPr="00685D23">
        <w:rPr>
          <w:szCs w:val="24"/>
        </w:rPr>
        <w:t xml:space="preserve"> et al. 2008; Hogan et al. 2001). </w:t>
      </w:r>
    </w:p>
    <w:p w:rsidR="007E5911" w:rsidRPr="00685D23" w:rsidRDefault="007E5911" w:rsidP="00685D23">
      <w:pPr>
        <w:jc w:val="both"/>
        <w:rPr>
          <w:szCs w:val="24"/>
        </w:rPr>
      </w:pPr>
      <w:r w:rsidRPr="00685D23">
        <w:rPr>
          <w:szCs w:val="24"/>
        </w:rPr>
        <w:t xml:space="preserve">The two methods will obtain similar results for investigations done of a single calendar year; with the additional requirement that </w:t>
      </w:r>
      <w:r w:rsidR="0041483E">
        <w:rPr>
          <w:szCs w:val="24"/>
        </w:rPr>
        <w:t>survivor costs only include</w:t>
      </w:r>
      <w:r w:rsidRPr="00685D23">
        <w:rPr>
          <w:szCs w:val="24"/>
        </w:rPr>
        <w:t xml:space="preserve"> the costs of individuals surviving from the calendar year in question to the end of the subsequent calendar year (</w:t>
      </w:r>
      <w:proofErr w:type="spellStart"/>
      <w:r w:rsidRPr="00685D23">
        <w:rPr>
          <w:szCs w:val="24"/>
        </w:rPr>
        <w:t>Wickstrøm</w:t>
      </w:r>
      <w:proofErr w:type="spellEnd"/>
      <w:r w:rsidRPr="00685D23">
        <w:rPr>
          <w:szCs w:val="24"/>
        </w:rPr>
        <w:t xml:space="preserve"> et al. 2002; </w:t>
      </w:r>
      <w:proofErr w:type="spellStart"/>
      <w:r w:rsidRPr="00685D23">
        <w:rPr>
          <w:szCs w:val="24"/>
        </w:rPr>
        <w:t>Roos</w:t>
      </w:r>
      <w:proofErr w:type="spellEnd"/>
      <w:r w:rsidRPr="00685D23">
        <w:rPr>
          <w:szCs w:val="24"/>
        </w:rPr>
        <w:t xml:space="preserve"> et al. 1987; Polder et al. 2006; McCall 1984; Liu and Yang 2002; Emanuel and Emanuel 1994). </w:t>
      </w:r>
      <w:r w:rsidR="0041483E">
        <w:rPr>
          <w:szCs w:val="24"/>
        </w:rPr>
        <w:t>This additional requirement stems from t</w:t>
      </w:r>
      <w:r w:rsidRPr="00685D23">
        <w:rPr>
          <w:szCs w:val="24"/>
        </w:rPr>
        <w:t>he</w:t>
      </w:r>
      <w:r w:rsidR="0041483E">
        <w:rPr>
          <w:szCs w:val="24"/>
        </w:rPr>
        <w:t xml:space="preserve"> fact that the</w:t>
      </w:r>
      <w:r w:rsidRPr="00685D23">
        <w:rPr>
          <w:szCs w:val="24"/>
        </w:rPr>
        <w:t xml:space="preserve"> first method counts all the healthcare costs as survivor costs for those dying in the subsequent calendar year to that in question. A portion of these costs should, however, be classified as decedent costs. As a result, survivor costs are over estimated and decedent costs are underestimated f</w:t>
      </w:r>
      <w:r w:rsidR="0041483E">
        <w:rPr>
          <w:szCs w:val="24"/>
        </w:rPr>
        <w:t>or each calendar year. In light of this, the second method is preferred and used in this investigation</w:t>
      </w:r>
      <w:r w:rsidRPr="00685D23">
        <w:rPr>
          <w:szCs w:val="24"/>
        </w:rPr>
        <w:t>.</w:t>
      </w:r>
      <w:r w:rsidR="0041483E">
        <w:rPr>
          <w:szCs w:val="24"/>
        </w:rPr>
        <w:t xml:space="preserve"> Further details of the methodology are discussed in Section 5.</w:t>
      </w:r>
      <w:r w:rsidRPr="00685D23">
        <w:rPr>
          <w:szCs w:val="24"/>
        </w:rPr>
        <w:t xml:space="preserve"> </w:t>
      </w:r>
    </w:p>
    <w:p w:rsidR="007E5911" w:rsidRPr="00BF53A1" w:rsidRDefault="007E5911" w:rsidP="00BF53A1">
      <w:pPr>
        <w:pStyle w:val="ListParagraph"/>
        <w:numPr>
          <w:ilvl w:val="1"/>
          <w:numId w:val="25"/>
        </w:numPr>
        <w:rPr>
          <w:caps/>
        </w:rPr>
      </w:pPr>
      <w:r w:rsidRPr="00BF53A1">
        <w:rPr>
          <w:caps/>
        </w:rPr>
        <w:t xml:space="preserve">Assumptions </w:t>
      </w:r>
    </w:p>
    <w:p w:rsidR="007E5911" w:rsidRPr="0041483E" w:rsidRDefault="007E5911" w:rsidP="00AD0700">
      <w:pPr>
        <w:jc w:val="both"/>
        <w:rPr>
          <w:szCs w:val="24"/>
        </w:rPr>
      </w:pPr>
      <w:r w:rsidRPr="0041483E">
        <w:rPr>
          <w:szCs w:val="24"/>
        </w:rPr>
        <w:t xml:space="preserve">The methodologies of the investigation differ according to the assumptions made. The majority of assumptions were made in order to circumvent deficiencies in the data. Most investigations needed to make an assumption relating to the estimation of the start date of the twelve month period before death. This is because the data available often did not have the exact day on which the healthcare costs were incurred but rather healthcare costs for a particular month in question. </w:t>
      </w:r>
      <w:proofErr w:type="spellStart"/>
      <w:r w:rsidRPr="0041483E">
        <w:rPr>
          <w:szCs w:val="24"/>
        </w:rPr>
        <w:t>Moodley</w:t>
      </w:r>
      <w:proofErr w:type="spellEnd"/>
      <w:r w:rsidRPr="0041483E">
        <w:rPr>
          <w:szCs w:val="24"/>
        </w:rPr>
        <w:t xml:space="preserve"> and McLeod (2001) made the assumption that the twelve month period should start from the beginning of the month in question.</w:t>
      </w:r>
      <w:r w:rsidR="0041483E">
        <w:rPr>
          <w:szCs w:val="24"/>
        </w:rPr>
        <w:t xml:space="preserve"> </w:t>
      </w:r>
      <w:r w:rsidRPr="0041483E">
        <w:rPr>
          <w:szCs w:val="24"/>
        </w:rPr>
        <w:t>Other investigations assumed costs were uniformly distributed over the month and, thus, the start date w</w:t>
      </w:r>
      <w:r w:rsidR="00BF53A1" w:rsidRPr="0041483E">
        <w:rPr>
          <w:szCs w:val="24"/>
        </w:rPr>
        <w:t xml:space="preserve">as taken </w:t>
      </w:r>
      <w:r w:rsidRPr="0041483E">
        <w:rPr>
          <w:szCs w:val="24"/>
        </w:rPr>
        <w:t xml:space="preserve">as being from the middle of the month in question (Polder et al. 2006; </w:t>
      </w:r>
      <w:proofErr w:type="spellStart"/>
      <w:r w:rsidRPr="0041483E">
        <w:rPr>
          <w:szCs w:val="24"/>
        </w:rPr>
        <w:t>Lubitz</w:t>
      </w:r>
      <w:proofErr w:type="spellEnd"/>
      <w:r w:rsidRPr="0041483E">
        <w:rPr>
          <w:szCs w:val="24"/>
        </w:rPr>
        <w:t xml:space="preserve"> and Riley 1993; </w:t>
      </w:r>
      <w:proofErr w:type="spellStart"/>
      <w:r w:rsidRPr="0041483E">
        <w:rPr>
          <w:szCs w:val="24"/>
        </w:rPr>
        <w:t>Lubitz</w:t>
      </w:r>
      <w:proofErr w:type="spellEnd"/>
      <w:r w:rsidRPr="0041483E">
        <w:rPr>
          <w:szCs w:val="24"/>
        </w:rPr>
        <w:t xml:space="preserve"> and Riley 2010; </w:t>
      </w:r>
      <w:proofErr w:type="spellStart"/>
      <w:r w:rsidRPr="0041483E">
        <w:rPr>
          <w:szCs w:val="24"/>
        </w:rPr>
        <w:t>Calfo</w:t>
      </w:r>
      <w:proofErr w:type="spellEnd"/>
      <w:r w:rsidRPr="0041483E">
        <w:rPr>
          <w:szCs w:val="24"/>
        </w:rPr>
        <w:t xml:space="preserve"> et al. 2008). </w:t>
      </w:r>
    </w:p>
    <w:p w:rsidR="007E5911" w:rsidRPr="0041483E" w:rsidRDefault="007E5911" w:rsidP="00AD0700">
      <w:pPr>
        <w:jc w:val="both"/>
        <w:rPr>
          <w:szCs w:val="24"/>
        </w:rPr>
      </w:pPr>
      <w:r w:rsidRPr="0041483E">
        <w:rPr>
          <w:szCs w:val="24"/>
        </w:rPr>
        <w:t>Uniform distribution of deaths was also assumed when determining the portion of decedent costs within a particular calendar year for individuals dying in the subsequent calendar year (</w:t>
      </w:r>
      <w:proofErr w:type="spellStart"/>
      <w:r w:rsidRPr="0041483E">
        <w:rPr>
          <w:szCs w:val="24"/>
        </w:rPr>
        <w:t>Wickstrøm</w:t>
      </w:r>
      <w:proofErr w:type="spellEnd"/>
      <w:r w:rsidRPr="0041483E">
        <w:rPr>
          <w:szCs w:val="24"/>
        </w:rPr>
        <w:t xml:space="preserve"> et al. 2002). Polder et al. 2006 determined this portion by interpolating the data on a monthly basis. This assumption was needed when no data was available on the date of death of individuals in the subsequent calendar year to that in question. </w:t>
      </w:r>
    </w:p>
    <w:p w:rsidR="007E5911" w:rsidRPr="0041483E" w:rsidRDefault="007E5911" w:rsidP="00AD0700">
      <w:pPr>
        <w:jc w:val="both"/>
        <w:rPr>
          <w:szCs w:val="24"/>
        </w:rPr>
      </w:pPr>
      <w:r w:rsidRPr="0041483E">
        <w:rPr>
          <w:szCs w:val="24"/>
        </w:rPr>
        <w:t xml:space="preserve">Assumptions are needed to adjust the data for inflation in order to obtain results in real terms. Accordingly, it has generally been assumed that healthcare costs increased in line with the </w:t>
      </w:r>
      <w:r w:rsidR="0041483E">
        <w:rPr>
          <w:szCs w:val="24"/>
        </w:rPr>
        <w:t xml:space="preserve">countries’ </w:t>
      </w:r>
      <w:r w:rsidR="0041483E" w:rsidRPr="0041483E">
        <w:rPr>
          <w:szCs w:val="24"/>
        </w:rPr>
        <w:t>medical</w:t>
      </w:r>
      <w:r w:rsidRPr="0041483E">
        <w:rPr>
          <w:szCs w:val="24"/>
        </w:rPr>
        <w:t xml:space="preserve"> inflation (</w:t>
      </w:r>
      <w:proofErr w:type="spellStart"/>
      <w:r w:rsidRPr="0041483E">
        <w:rPr>
          <w:szCs w:val="24"/>
        </w:rPr>
        <w:t>Moodley</w:t>
      </w:r>
      <w:proofErr w:type="spellEnd"/>
      <w:r w:rsidRPr="0041483E">
        <w:rPr>
          <w:szCs w:val="24"/>
        </w:rPr>
        <w:t xml:space="preserve"> and McLeod 2001; </w:t>
      </w:r>
      <w:proofErr w:type="spellStart"/>
      <w:r w:rsidRPr="0041483E">
        <w:rPr>
          <w:szCs w:val="24"/>
        </w:rPr>
        <w:t>Lubitz</w:t>
      </w:r>
      <w:proofErr w:type="spellEnd"/>
      <w:r w:rsidRPr="0041483E">
        <w:rPr>
          <w:szCs w:val="24"/>
        </w:rPr>
        <w:t xml:space="preserve"> and Riley 1993; </w:t>
      </w:r>
      <w:proofErr w:type="spellStart"/>
      <w:r w:rsidRPr="0041483E">
        <w:rPr>
          <w:szCs w:val="24"/>
        </w:rPr>
        <w:t>Lubitz</w:t>
      </w:r>
      <w:proofErr w:type="spellEnd"/>
      <w:r w:rsidRPr="0041483E">
        <w:rPr>
          <w:szCs w:val="24"/>
        </w:rPr>
        <w:t xml:space="preserve"> and Riley 2010; </w:t>
      </w:r>
      <w:proofErr w:type="spellStart"/>
      <w:r w:rsidRPr="0041483E">
        <w:rPr>
          <w:szCs w:val="24"/>
        </w:rPr>
        <w:t>Calfo</w:t>
      </w:r>
      <w:proofErr w:type="spellEnd"/>
      <w:r w:rsidRPr="0041483E">
        <w:rPr>
          <w:szCs w:val="24"/>
        </w:rPr>
        <w:t xml:space="preserve"> et al. 2008; Hogan et al. 2001; Emanuel and Emanuel 1994).</w:t>
      </w:r>
      <w:r w:rsidR="00D9768A">
        <w:rPr>
          <w:szCs w:val="24"/>
        </w:rPr>
        <w:t xml:space="preserve"> An explanation of the inflation adjustments made in this investi</w:t>
      </w:r>
      <w:r w:rsidR="00625779">
        <w:rPr>
          <w:szCs w:val="24"/>
        </w:rPr>
        <w:t>gation is discussed in Section 4</w:t>
      </w:r>
      <w:r w:rsidR="00D9768A">
        <w:rPr>
          <w:szCs w:val="24"/>
        </w:rPr>
        <w:t>.3.</w:t>
      </w:r>
      <w:r w:rsidRPr="0041483E">
        <w:rPr>
          <w:szCs w:val="24"/>
        </w:rPr>
        <w:t xml:space="preserve"> Furthermore, the data sample used in certain investigation was assumed to represent the population as a whole. The researchers were, thus, able to extrapolate results for the entire population by multiplying the results by some factor (</w:t>
      </w:r>
      <w:proofErr w:type="spellStart"/>
      <w:r w:rsidRPr="0041483E">
        <w:rPr>
          <w:szCs w:val="24"/>
        </w:rPr>
        <w:t>Lubitz</w:t>
      </w:r>
      <w:proofErr w:type="spellEnd"/>
      <w:r w:rsidRPr="0041483E">
        <w:rPr>
          <w:szCs w:val="24"/>
        </w:rPr>
        <w:t xml:space="preserve"> and Riley 1993; </w:t>
      </w:r>
      <w:proofErr w:type="spellStart"/>
      <w:r w:rsidRPr="0041483E">
        <w:rPr>
          <w:szCs w:val="24"/>
        </w:rPr>
        <w:t>Lubitz</w:t>
      </w:r>
      <w:proofErr w:type="spellEnd"/>
      <w:r w:rsidRPr="0041483E">
        <w:rPr>
          <w:szCs w:val="24"/>
        </w:rPr>
        <w:t xml:space="preserve"> and Riley 2010; Emanuel and Emanuel 1994). </w:t>
      </w:r>
    </w:p>
    <w:p w:rsidR="0081288A" w:rsidRPr="0041483E" w:rsidRDefault="007E5911" w:rsidP="00AD0700">
      <w:pPr>
        <w:jc w:val="both"/>
        <w:rPr>
          <w:caps/>
          <w:szCs w:val="24"/>
        </w:rPr>
      </w:pPr>
      <w:r w:rsidRPr="0041483E">
        <w:rPr>
          <w:szCs w:val="24"/>
        </w:rPr>
        <w:t xml:space="preserve">Further assumptions made in investigations involved the omission of certain healthcare costs. This was done primarily due to the unavailability of data on these healthcare cost. For example, Emanuel et al. (2002) excluded Medicare expenditure relating to durable medical equipment as data on this expenditure could not be obtained. Other reasons for the omissions were to simplify the investigation as well as to reduce errors or inconsistencies that would </w:t>
      </w:r>
      <w:r w:rsidRPr="0041483E">
        <w:rPr>
          <w:szCs w:val="24"/>
        </w:rPr>
        <w:lastRenderedPageBreak/>
        <w:t>result from the inclusion of such costs. The most common omission of this type was to exclude individuals enrolling in or leaving the medical insurance during the period under investigation (</w:t>
      </w:r>
      <w:proofErr w:type="spellStart"/>
      <w:r w:rsidRPr="0041483E">
        <w:rPr>
          <w:szCs w:val="24"/>
        </w:rPr>
        <w:t>Lubitz</w:t>
      </w:r>
      <w:proofErr w:type="spellEnd"/>
      <w:r w:rsidRPr="0041483E">
        <w:rPr>
          <w:szCs w:val="24"/>
        </w:rPr>
        <w:t xml:space="preserve"> and Riley 1993; </w:t>
      </w:r>
      <w:proofErr w:type="spellStart"/>
      <w:r w:rsidRPr="0041483E">
        <w:rPr>
          <w:szCs w:val="24"/>
        </w:rPr>
        <w:t>Lubitz</w:t>
      </w:r>
      <w:proofErr w:type="spellEnd"/>
      <w:r w:rsidRPr="0041483E">
        <w:rPr>
          <w:szCs w:val="24"/>
        </w:rPr>
        <w:t xml:space="preserve"> and Riley 2010; </w:t>
      </w:r>
      <w:proofErr w:type="spellStart"/>
      <w:r w:rsidRPr="0041483E">
        <w:rPr>
          <w:szCs w:val="24"/>
        </w:rPr>
        <w:t>Emanual</w:t>
      </w:r>
      <w:proofErr w:type="spellEnd"/>
      <w:r w:rsidRPr="0041483E">
        <w:rPr>
          <w:szCs w:val="24"/>
        </w:rPr>
        <w:t xml:space="preserve"> et al. 2002; McCall 1984; </w:t>
      </w:r>
      <w:proofErr w:type="spellStart"/>
      <w:r w:rsidRPr="0041483E">
        <w:rPr>
          <w:szCs w:val="24"/>
        </w:rPr>
        <w:t>Roos</w:t>
      </w:r>
      <w:proofErr w:type="spellEnd"/>
      <w:r w:rsidRPr="0041483E">
        <w:rPr>
          <w:szCs w:val="24"/>
        </w:rPr>
        <w:t xml:space="preserve"> et al. 1987). This was done because it is difficult to allocate the expenditures of such individuals to survivor or decedent costs. Including such individuals could result in over- or underestimation of the survivor and decedent costs.</w:t>
      </w:r>
    </w:p>
    <w:p w:rsidR="00FB385A" w:rsidRPr="00F26530" w:rsidRDefault="00F241AC" w:rsidP="00150FA7">
      <w:pPr>
        <w:pStyle w:val="ListParagraph"/>
        <w:numPr>
          <w:ilvl w:val="0"/>
          <w:numId w:val="25"/>
        </w:numPr>
        <w:rPr>
          <w:caps/>
        </w:rPr>
      </w:pPr>
      <w:r w:rsidRPr="00F26530">
        <w:rPr>
          <w:caps/>
        </w:rPr>
        <w:t>Last-year-of-life costs in South African Medical Schemes</w:t>
      </w:r>
    </w:p>
    <w:p w:rsidR="000B109A" w:rsidRDefault="00F241AC" w:rsidP="00AD0700">
      <w:pPr>
        <w:jc w:val="both"/>
      </w:pPr>
      <w:r>
        <w:rPr>
          <w:w w:val="105"/>
        </w:rPr>
        <w:t xml:space="preserve">The largest body of research done on healthcare costs in the last year of life </w:t>
      </w:r>
      <w:r w:rsidR="003F3BB2">
        <w:rPr>
          <w:w w:val="102"/>
        </w:rPr>
        <w:t xml:space="preserve">relates to </w:t>
      </w:r>
      <w:r>
        <w:rPr>
          <w:w w:val="102"/>
        </w:rPr>
        <w:t xml:space="preserve">Medicare expenditure. Medicare is public healthcare provided to US </w:t>
      </w:r>
      <w:r>
        <w:rPr>
          <w:w w:val="105"/>
        </w:rPr>
        <w:t>citizens over t</w:t>
      </w:r>
      <w:r w:rsidR="003F3BB2">
        <w:rPr>
          <w:w w:val="105"/>
        </w:rPr>
        <w:t xml:space="preserve">he age </w:t>
      </w:r>
      <w:r>
        <w:rPr>
          <w:w w:val="105"/>
        </w:rPr>
        <w:t xml:space="preserve">of 65. It also provides cover for individuals of any age </w:t>
      </w:r>
      <w:r w:rsidR="003F3BB2">
        <w:rPr>
          <w:spacing w:val="-4"/>
        </w:rPr>
        <w:t xml:space="preserve">suffering from End-Stage Renal </w:t>
      </w:r>
      <w:r>
        <w:rPr>
          <w:spacing w:val="-4"/>
        </w:rPr>
        <w:t xml:space="preserve">Disease and certain other disabilities </w:t>
      </w:r>
      <w:r w:rsidR="009040E7">
        <w:rPr>
          <w:spacing w:val="-4"/>
        </w:rPr>
        <w:fldChar w:fldCharType="begin"/>
      </w:r>
      <w:r w:rsidR="00423904">
        <w:rPr>
          <w:spacing w:val="-4"/>
        </w:rPr>
        <w:instrText xml:space="preserve"> ADDIN EN.CITE &lt;EndNote&gt;&lt;Cite&gt;&lt;RecNum&gt;20&lt;/RecNum&gt;&lt;DisplayText&gt;(Department of Health, 2010)&lt;/DisplayText&gt;&lt;record&gt;&lt;rec-number&gt;20&lt;/rec-number&gt;&lt;foreign-keys&gt;&lt;key app="EN" db-id="drwxst0e6rfp08ez2z2p9xz70dewxrdrew59"&gt;20&lt;/key&gt;&lt;/foreign-keys&gt;&lt;ref-type name="Government Document"&gt;46&lt;/ref-type&gt;&lt;contributors&gt;&lt;authors&gt;&lt;author&gt;Department of Health,&lt;/author&gt;&lt;/authors&gt;&lt;/contributors&gt;&lt;titles&gt;&lt;title&gt;Draft policy framework for price determination in the private health system&lt;/title&gt;&lt;/titles&gt;&lt;dates&gt;&lt;year&gt;2010&lt;/year&gt;&lt;/dates&gt;&lt;pub-location&gt;Pretoria&lt;/pub-location&gt;&lt;publisher&gt;Council for Medical Schemes and Department of Health&lt;/publisher&gt;&lt;urls&gt;&lt;/urls&gt;&lt;/record&gt;&lt;/Cite&gt;&lt;/EndNote&gt;</w:instrText>
      </w:r>
      <w:r w:rsidR="009040E7">
        <w:rPr>
          <w:spacing w:val="-4"/>
        </w:rPr>
        <w:fldChar w:fldCharType="separate"/>
      </w:r>
      <w:r w:rsidR="00423904">
        <w:rPr>
          <w:noProof/>
          <w:spacing w:val="-4"/>
        </w:rPr>
        <w:t>(</w:t>
      </w:r>
      <w:hyperlink w:anchor="_ENREF_6" w:tooltip="Department of Health, 2010 #20" w:history="1">
        <w:r w:rsidR="00423904">
          <w:rPr>
            <w:noProof/>
            <w:spacing w:val="-4"/>
          </w:rPr>
          <w:t>Department of Health, 2010</w:t>
        </w:r>
      </w:hyperlink>
      <w:r w:rsidR="00423904">
        <w:rPr>
          <w:noProof/>
          <w:spacing w:val="-4"/>
        </w:rPr>
        <w:t>)</w:t>
      </w:r>
      <w:r w:rsidR="009040E7">
        <w:rPr>
          <w:spacing w:val="-4"/>
        </w:rPr>
        <w:fldChar w:fldCharType="end"/>
      </w:r>
      <w:r>
        <w:rPr>
          <w:spacing w:val="-4"/>
        </w:rPr>
        <w:t>. The</w:t>
      </w:r>
      <w:r w:rsidR="0066042D">
        <w:rPr>
          <w:spacing w:val="-4"/>
        </w:rPr>
        <w:t xml:space="preserve">re </w:t>
      </w:r>
      <w:proofErr w:type="gramStart"/>
      <w:r w:rsidR="0066042D">
        <w:rPr>
          <w:spacing w:val="-4"/>
        </w:rPr>
        <w:t>a two</w:t>
      </w:r>
      <w:proofErr w:type="gramEnd"/>
      <w:r w:rsidR="0066042D">
        <w:rPr>
          <w:spacing w:val="-4"/>
        </w:rPr>
        <w:t xml:space="preserve"> main reasons why </w:t>
      </w:r>
      <w:r w:rsidR="000B109A">
        <w:t xml:space="preserve">the results obtained </w:t>
      </w:r>
      <w:r>
        <w:t>from Me</w:t>
      </w:r>
      <w:r w:rsidR="003F3BB2">
        <w:t xml:space="preserve">dicare studies </w:t>
      </w:r>
      <w:r w:rsidR="0066042D">
        <w:t xml:space="preserve">may </w:t>
      </w:r>
      <w:r w:rsidR="003F3BB2">
        <w:t xml:space="preserve">not </w:t>
      </w:r>
      <w:r w:rsidR="0066042D">
        <w:t xml:space="preserve">be </w:t>
      </w:r>
      <w:r w:rsidR="003F3BB2">
        <w:t xml:space="preserve">directly </w:t>
      </w:r>
      <w:r w:rsidR="000A0E24">
        <w:t>a</w:t>
      </w:r>
      <w:r>
        <w:t xml:space="preserve">pplicable to South African medical </w:t>
      </w:r>
      <w:r>
        <w:rPr>
          <w:spacing w:val="-4"/>
        </w:rPr>
        <w:t>schemes</w:t>
      </w:r>
      <w:r w:rsidR="0066042D">
        <w:rPr>
          <w:rStyle w:val="FootnoteReference"/>
          <w:spacing w:val="-4"/>
        </w:rPr>
        <w:footnoteReference w:id="1"/>
      </w:r>
      <w:r>
        <w:rPr>
          <w:spacing w:val="-4"/>
        </w:rPr>
        <w:t xml:space="preserve">. First, </w:t>
      </w:r>
      <w:r w:rsidR="000B109A">
        <w:rPr>
          <w:spacing w:val="-4"/>
        </w:rPr>
        <w:t xml:space="preserve">a large proportion of </w:t>
      </w:r>
      <w:r>
        <w:rPr>
          <w:spacing w:val="-4"/>
        </w:rPr>
        <w:t xml:space="preserve">medical </w:t>
      </w:r>
      <w:r>
        <w:t>scheme beneficiaries are</w:t>
      </w:r>
      <w:r w:rsidR="000B109A">
        <w:t xml:space="preserve"> under 65. </w:t>
      </w:r>
      <w:r>
        <w:rPr>
          <w:w w:val="102"/>
        </w:rPr>
        <w:t xml:space="preserve">Second, </w:t>
      </w:r>
      <w:r w:rsidR="003F3BB2">
        <w:rPr>
          <w:w w:val="103"/>
        </w:rPr>
        <w:t xml:space="preserve">the </w:t>
      </w:r>
      <w:r w:rsidR="000B109A">
        <w:rPr>
          <w:w w:val="103"/>
        </w:rPr>
        <w:t xml:space="preserve">range of benefits covered by medical schemes differs from </w:t>
      </w:r>
      <w:r w:rsidR="000B109A">
        <w:t>those provided by Medicare</w:t>
      </w:r>
      <w:r>
        <w:t>.</w:t>
      </w:r>
      <w:r w:rsidR="00211B15">
        <w:t xml:space="preserve"> </w:t>
      </w:r>
    </w:p>
    <w:bookmarkStart w:id="0" w:name="Pg5"/>
    <w:bookmarkEnd w:id="0"/>
    <w:p w:rsidR="00F241AC" w:rsidRDefault="009040E7" w:rsidP="00AD0700">
      <w:pPr>
        <w:jc w:val="both"/>
        <w:rPr>
          <w:spacing w:val="-2"/>
        </w:rPr>
      </w:pPr>
      <w:r>
        <w:rPr>
          <w:w w:val="108"/>
        </w:rPr>
        <w:fldChar w:fldCharType="begin"/>
      </w:r>
      <w:r w:rsidR="000B109A">
        <w:rPr>
          <w:w w:val="108"/>
        </w:rPr>
        <w:instrText xml:space="preserve"> ADDIN EN.CITE &lt;EndNote&gt;&lt;Cite AuthorYear="1"&gt;&lt;Author&gt;Moodley&lt;/Author&gt;&lt;Year&gt;2001&lt;/Year&gt;&lt;RecNum&gt;4&lt;/RecNum&gt;&lt;DisplayText&gt;Moodley and McLeod (2001)&lt;/DisplayText&gt;&lt;record&gt;&lt;rec-number&gt;4&lt;/rec-number&gt;&lt;foreign-keys&gt;&lt;key app="EN" db-id="x2dxrtfwlt0dd3erpz9va5vq5p5xret9aw5d"&gt;4&lt;/key&gt;&lt;/foreign-keys&gt;&lt;ref-type name="Report"&gt;27&lt;/ref-type&gt;&lt;contributors&gt;&lt;authors&gt;&lt;author&gt;Moodley, P.&lt;/author&gt;&lt;author&gt;McLeod, H.&lt;/author&gt;&lt;/authors&gt;&lt;/contributors&gt;&lt;titles&gt;&lt;title&gt;An Investigation into Healthcare Costs in the Last-Year-of-Life&lt;/title&gt;&lt;secondary-title&gt;CARe Research Monographs&lt;/secondary-title&gt;&lt;/titles&gt;&lt;dates&gt;&lt;year&gt;2001&lt;/year&gt;&lt;/dates&gt;&lt;pub-location&gt;Cape Town&lt;/pub-location&gt;&lt;publisher&gt;Centre for Actuarial Research&lt;/publisher&gt;&lt;urls&gt;&lt;/urls&gt;&lt;/record&gt;&lt;/Cite&gt;&lt;/EndNote&gt;</w:instrText>
      </w:r>
      <w:r>
        <w:rPr>
          <w:w w:val="108"/>
        </w:rPr>
        <w:fldChar w:fldCharType="separate"/>
      </w:r>
      <w:hyperlink w:anchor="_ENREF_16" w:tooltip="Moodley, 2001 #4" w:history="1">
        <w:r w:rsidR="00423904">
          <w:rPr>
            <w:noProof/>
            <w:w w:val="108"/>
          </w:rPr>
          <w:t>Moodley and McLeod (2001</w:t>
        </w:r>
      </w:hyperlink>
      <w:r w:rsidR="000B109A">
        <w:rPr>
          <w:noProof/>
          <w:w w:val="108"/>
        </w:rPr>
        <w:t>)</w:t>
      </w:r>
      <w:r>
        <w:rPr>
          <w:w w:val="108"/>
        </w:rPr>
        <w:fldChar w:fldCharType="end"/>
      </w:r>
      <w:r w:rsidR="000B109A">
        <w:rPr>
          <w:w w:val="108"/>
        </w:rPr>
        <w:t xml:space="preserve"> analysed healthcare costs in the l</w:t>
      </w:r>
      <w:r w:rsidR="003F3BB2">
        <w:rPr>
          <w:w w:val="108"/>
        </w:rPr>
        <w:t xml:space="preserve">ast year of life using </w:t>
      </w:r>
      <w:r w:rsidR="00F241AC">
        <w:rPr>
          <w:w w:val="108"/>
        </w:rPr>
        <w:t xml:space="preserve">data relating to South African medical </w:t>
      </w:r>
      <w:r w:rsidR="00F241AC">
        <w:rPr>
          <w:w w:val="102"/>
        </w:rPr>
        <w:t xml:space="preserve">schemes. </w:t>
      </w:r>
      <w:r w:rsidR="00F241AC">
        <w:t>It is important to note that legislation</w:t>
      </w:r>
      <w:r w:rsidR="003F3BB2">
        <w:t xml:space="preserve"> </w:t>
      </w:r>
      <w:r w:rsidR="00F241AC">
        <w:t>concerning</w:t>
      </w:r>
      <w:r w:rsidR="00211B15">
        <w:t xml:space="preserve"> </w:t>
      </w:r>
      <w:r w:rsidR="000B109A">
        <w:t>medical</w:t>
      </w:r>
      <w:r w:rsidR="00211B15">
        <w:t xml:space="preserve"> </w:t>
      </w:r>
      <w:r w:rsidR="000B109A">
        <w:t>schemes</w:t>
      </w:r>
      <w:r w:rsidR="00211B15">
        <w:t xml:space="preserve"> </w:t>
      </w:r>
      <w:r w:rsidR="000B109A">
        <w:t>in</w:t>
      </w:r>
      <w:r w:rsidR="00211B15">
        <w:t xml:space="preserve"> </w:t>
      </w:r>
      <w:r w:rsidR="000B109A">
        <w:t xml:space="preserve">South Africa </w:t>
      </w:r>
      <w:r w:rsidR="00F241AC">
        <w:t>has</w:t>
      </w:r>
      <w:r w:rsidR="000B109A">
        <w:t xml:space="preserve"> changed </w:t>
      </w:r>
      <w:r w:rsidR="000B109A">
        <w:rPr>
          <w:spacing w:val="-2"/>
        </w:rPr>
        <w:t>signif</w:t>
      </w:r>
      <w:r w:rsidR="003F3BB2">
        <w:rPr>
          <w:spacing w:val="-2"/>
        </w:rPr>
        <w:t xml:space="preserve">icantly since that research was </w:t>
      </w:r>
      <w:r w:rsidR="000B109A">
        <w:rPr>
          <w:spacing w:val="-2"/>
        </w:rPr>
        <w:t>done</w:t>
      </w:r>
      <w:r w:rsidR="00F241AC">
        <w:rPr>
          <w:spacing w:val="-2"/>
        </w:rPr>
        <w:t xml:space="preserve">. </w:t>
      </w:r>
    </w:p>
    <w:p w:rsidR="008C181D" w:rsidRDefault="008C181D" w:rsidP="00AD0700">
      <w:pPr>
        <w:jc w:val="both"/>
      </w:pPr>
      <w:r>
        <w:t>The Medical Schemes Act No. 131 of 1998 was implemented af</w:t>
      </w:r>
      <w:r w:rsidR="003F3BB2">
        <w:t xml:space="preserve">ter the period of investigation </w:t>
      </w:r>
      <w:r>
        <w:t xml:space="preserve">in </w:t>
      </w:r>
      <w:r w:rsidR="009040E7">
        <w:fldChar w:fldCharType="begin"/>
      </w:r>
      <w:r>
        <w:instrText xml:space="preserve"> ADDIN EN.CITE &lt;EndNote&gt;&lt;Cite AuthorYear="1"&gt;&lt;Author&gt;Moodley&lt;/Author&gt;&lt;Year&gt;2001&lt;/Year&gt;&lt;RecNum&gt;4&lt;/RecNum&gt;&lt;DisplayText&gt;Moodley and McLeod (2001)&lt;/DisplayText&gt;&lt;record&gt;&lt;rec-number&gt;4&lt;/rec-number&gt;&lt;foreign-keys&gt;&lt;key app="EN" db-id="x2dxrtfwlt0dd3erpz9va5vq5p5xret9aw5d"&gt;4&lt;/key&gt;&lt;/foreign-keys&gt;&lt;ref-type name="Report"&gt;27&lt;/ref-type&gt;&lt;contributors&gt;&lt;authors&gt;&lt;author&gt;Moodley, P.&lt;/author&gt;&lt;author&gt;McLeod, H.&lt;/author&gt;&lt;/authors&gt;&lt;/contributors&gt;&lt;titles&gt;&lt;title&gt;An Investigation into Healthcare Costs in the Last-Year-of-Life&lt;/title&gt;&lt;secondary-title&gt;CARe Research Monographs&lt;/secondary-title&gt;&lt;/titles&gt;&lt;dates&gt;&lt;year&gt;2001&lt;/year&gt;&lt;/dates&gt;&lt;pub-location&gt;Cape Town&lt;/pub-location&gt;&lt;publisher&gt;Centre for Actuarial Research&lt;/publisher&gt;&lt;urls&gt;&lt;/urls&gt;&lt;/record&gt;&lt;/Cite&gt;&lt;/EndNote&gt;</w:instrText>
      </w:r>
      <w:r w:rsidR="009040E7">
        <w:fldChar w:fldCharType="separate"/>
      </w:r>
      <w:hyperlink w:anchor="_ENREF_16" w:tooltip="Moodley, 2001 #4" w:history="1">
        <w:r w:rsidR="00423904">
          <w:rPr>
            <w:noProof/>
          </w:rPr>
          <w:t>Moodley and McLeod (2001</w:t>
        </w:r>
      </w:hyperlink>
      <w:r>
        <w:rPr>
          <w:noProof/>
        </w:rPr>
        <w:t>)</w:t>
      </w:r>
      <w:r w:rsidR="009040E7">
        <w:fldChar w:fldCharType="end"/>
      </w:r>
      <w:r>
        <w:t xml:space="preserve">. </w:t>
      </w:r>
      <w:r>
        <w:rPr>
          <w:spacing w:val="-4"/>
        </w:rPr>
        <w:t xml:space="preserve">The first key feature </w:t>
      </w:r>
      <w:r>
        <w:rPr>
          <w:w w:val="105"/>
        </w:rPr>
        <w:t>t</w:t>
      </w:r>
      <w:r w:rsidR="003F3BB2">
        <w:rPr>
          <w:w w:val="105"/>
        </w:rPr>
        <w:t xml:space="preserve">o note comes from Annexure A of </w:t>
      </w:r>
      <w:r>
        <w:rPr>
          <w:w w:val="105"/>
        </w:rPr>
        <w:t xml:space="preserve">the Regulations in Terms of the Medical </w:t>
      </w:r>
      <w:r>
        <w:rPr>
          <w:w w:val="102"/>
        </w:rPr>
        <w:t>Schemes</w:t>
      </w:r>
      <w:r w:rsidR="003F3BB2">
        <w:rPr>
          <w:w w:val="102"/>
        </w:rPr>
        <w:t xml:space="preserve"> Act No. 131, which ensures the </w:t>
      </w:r>
      <w:r>
        <w:rPr>
          <w:w w:val="102"/>
        </w:rPr>
        <w:t xml:space="preserve">mandatory provision of Prescribed Minimum Benefits (PMBs) by all </w:t>
      </w:r>
      <w:r w:rsidR="003F3BB2">
        <w:rPr>
          <w:spacing w:val="-3"/>
        </w:rPr>
        <w:t xml:space="preserve">medical schemes. The </w:t>
      </w:r>
      <w:r>
        <w:rPr>
          <w:spacing w:val="-3"/>
        </w:rPr>
        <w:t>PMB package covers 270 diagnosis and treatment pairs, a chr</w:t>
      </w:r>
      <w:r w:rsidR="003F3BB2">
        <w:rPr>
          <w:spacing w:val="-3"/>
        </w:rPr>
        <w:t xml:space="preserve">onic disease list and emergency </w:t>
      </w:r>
      <w:r>
        <w:rPr>
          <w:spacing w:val="-3"/>
        </w:rPr>
        <w:t xml:space="preserve">conditions in full; </w:t>
      </w:r>
      <w:r>
        <w:t xml:space="preserve">barring certain terms and conditions. </w:t>
      </w:r>
    </w:p>
    <w:p w:rsidR="000B109A" w:rsidRPr="00B909C6" w:rsidRDefault="000B109A" w:rsidP="00AD0700">
      <w:pPr>
        <w:jc w:val="both"/>
      </w:pPr>
      <w:r>
        <w:t>The second key feature is outlined by the Medical Schemes A</w:t>
      </w:r>
      <w:r w:rsidR="003F3BB2">
        <w:t xml:space="preserve">ct No. 131 (section 29 (1) (n)) </w:t>
      </w:r>
      <w:r>
        <w:t xml:space="preserve">which prohibits medical schemes from denying cover based </w:t>
      </w:r>
      <w:r w:rsidR="003F3BB2">
        <w:t xml:space="preserve">on age, sex and past or present </w:t>
      </w:r>
      <w:r>
        <w:t xml:space="preserve">state of health. This feature </w:t>
      </w:r>
      <w:r w:rsidR="008C181D">
        <w:t>combined with the vol</w:t>
      </w:r>
      <w:r w:rsidR="003F3BB2">
        <w:t xml:space="preserve">untary nature of medical scheme </w:t>
      </w:r>
      <w:r w:rsidR="008C181D">
        <w:t xml:space="preserve">membership </w:t>
      </w:r>
      <w:r>
        <w:t>potentially allows for anti-selection against med</w:t>
      </w:r>
      <w:r w:rsidR="003F3BB2">
        <w:t xml:space="preserve">ical schemes by individuals who </w:t>
      </w:r>
      <w:r>
        <w:t xml:space="preserve">are old and sick </w:t>
      </w:r>
      <w:r w:rsidR="009040E7">
        <w:fldChar w:fldCharType="begin"/>
      </w:r>
      <w:r w:rsidR="008C181D">
        <w:instrText xml:space="preserve"> ADDIN EN.CITE &lt;EndNote&gt;&lt;Cite&gt;&lt;Author&gt;Doherty&lt;/Author&gt;&lt;Year&gt;2002&lt;/Year&gt;&lt;RecNum&gt;9&lt;/RecNum&gt;&lt;DisplayText&gt;(Doherty &amp;amp; McLeod, 2002)&lt;/DisplayText&gt;&lt;record&gt;&lt;rec-number&gt;9&lt;/rec-number&gt;&lt;foreign-keys&gt;&lt;key app="EN" db-id="x2dxrtfwlt0dd3erpz9va5vq5p5xret9aw5d"&gt;9&lt;/key&gt;&lt;/foreign-keys&gt;&lt;ref-type name="Book Section"&gt;5&lt;/ref-type&gt;&lt;contributors&gt;&lt;authors&gt;&lt;author&gt;Doherty, J&lt;/author&gt;&lt;author&gt;McLeod, H&lt;/author&gt;&lt;/authors&gt;&lt;/contributors&gt;&lt;titles&gt;&lt;title&gt;Medical Schemes&lt;/title&gt;&lt;secondary-title&gt;South African Health Review 2002&lt;/secondary-title&gt;&lt;/titles&gt;&lt;pages&gt;41-66&lt;/pages&gt;&lt;section&gt;3&lt;/section&gt;&lt;dates&gt;&lt;year&gt;2002&lt;/year&gt;&lt;/dates&gt;&lt;urls&gt;&lt;/urls&gt;&lt;/record&gt;&lt;/Cite&gt;&lt;/EndNote&gt;</w:instrText>
      </w:r>
      <w:r w:rsidR="009040E7">
        <w:fldChar w:fldCharType="separate"/>
      </w:r>
      <w:r w:rsidR="008C181D">
        <w:rPr>
          <w:noProof/>
        </w:rPr>
        <w:t>(</w:t>
      </w:r>
      <w:hyperlink w:anchor="_ENREF_7" w:tooltip="Doherty, 2002 #9" w:history="1">
        <w:r w:rsidR="00423904">
          <w:rPr>
            <w:noProof/>
          </w:rPr>
          <w:t>Doherty &amp; McLeod, 2002</w:t>
        </w:r>
      </w:hyperlink>
      <w:r w:rsidR="008C181D">
        <w:rPr>
          <w:noProof/>
        </w:rPr>
        <w:t>)</w:t>
      </w:r>
      <w:r w:rsidR="009040E7">
        <w:fldChar w:fldCharType="end"/>
      </w:r>
      <w:r>
        <w:t xml:space="preserve">. The </w:t>
      </w:r>
      <w:r w:rsidR="008C181D">
        <w:t xml:space="preserve">scope for anti-selection </w:t>
      </w:r>
      <w:r w:rsidR="003F3BB2">
        <w:t xml:space="preserve">is expected to </w:t>
      </w:r>
      <w:r>
        <w:t>increase the healthcare expenditure by medical schemes in the last year of life.</w:t>
      </w:r>
    </w:p>
    <w:p w:rsidR="00F241AC" w:rsidRPr="001E77DC" w:rsidRDefault="00F241AC" w:rsidP="00D9768A">
      <w:pPr>
        <w:jc w:val="both"/>
      </w:pPr>
      <w:bookmarkStart w:id="1" w:name="Pg6"/>
      <w:bookmarkEnd w:id="1"/>
      <w:r>
        <w:t xml:space="preserve">Section 1 (1) of the Medical Schemes Act No. 131 does help to </w:t>
      </w:r>
      <w:r w:rsidR="003F3BB2">
        <w:rPr>
          <w:w w:val="105"/>
        </w:rPr>
        <w:t xml:space="preserve">mitigate this risk by </w:t>
      </w:r>
      <w:r>
        <w:rPr>
          <w:w w:val="105"/>
        </w:rPr>
        <w:t xml:space="preserve">defining the business of medical schemes as one which </w:t>
      </w:r>
      <w:r w:rsidR="005705BA">
        <w:rPr>
          <w:spacing w:val="-3"/>
        </w:rPr>
        <w:t>“</w:t>
      </w:r>
      <w:r>
        <w:rPr>
          <w:spacing w:val="-3"/>
        </w:rPr>
        <w:t>under</w:t>
      </w:r>
      <w:r w:rsidR="003F3BB2">
        <w:rPr>
          <w:spacing w:val="-3"/>
        </w:rPr>
        <w:t xml:space="preserve">takes liability in return for a </w:t>
      </w:r>
      <w:r>
        <w:rPr>
          <w:spacing w:val="-3"/>
        </w:rPr>
        <w:t xml:space="preserve">premium or contribution to make provision for </w:t>
      </w:r>
      <w:r>
        <w:t>the obtaining of any relevant health service</w:t>
      </w:r>
      <w:r w:rsidR="005705BA">
        <w:t>”</w:t>
      </w:r>
      <w:r w:rsidR="003F3BB2">
        <w:t xml:space="preserve">. </w:t>
      </w:r>
      <w:r>
        <w:t>This definition limits the provision of health insurance by any financial institution othe</w:t>
      </w:r>
      <w:r w:rsidR="003F3BB2">
        <w:t xml:space="preserve">r than </w:t>
      </w:r>
      <w:r>
        <w:t>a medical scheme.</w:t>
      </w:r>
      <w:r>
        <w:rPr>
          <w:spacing w:val="-2"/>
        </w:rPr>
        <w:t xml:space="preserve"> </w:t>
      </w:r>
      <w:r w:rsidR="005705BA">
        <w:rPr>
          <w:spacing w:val="-2"/>
        </w:rPr>
        <w:t xml:space="preserve">In addition, many working age members of </w:t>
      </w:r>
      <w:r w:rsidR="003F3BB2">
        <w:rPr>
          <w:spacing w:val="-2"/>
        </w:rPr>
        <w:t xml:space="preserve">medical schemes are required to </w:t>
      </w:r>
      <w:r w:rsidR="005705BA">
        <w:rPr>
          <w:spacing w:val="-2"/>
        </w:rPr>
        <w:t>have medical scheme cover as</w:t>
      </w:r>
      <w:r>
        <w:t xml:space="preserve"> </w:t>
      </w:r>
      <w:r w:rsidR="005705BA">
        <w:t xml:space="preserve">a condition of </w:t>
      </w:r>
      <w:r>
        <w:t>employmen</w:t>
      </w:r>
      <w:r w:rsidR="003F3BB2">
        <w:t xml:space="preserve">t. This increases the number of </w:t>
      </w:r>
      <w:r>
        <w:t>younger and healthier beneficiaries covered by the schemes, thereby, impr</w:t>
      </w:r>
      <w:r w:rsidR="003F3BB2">
        <w:t xml:space="preserve">oving the risk pool </w:t>
      </w:r>
      <w:r>
        <w:rPr>
          <w:spacing w:val="-2"/>
        </w:rPr>
        <w:t>that medical schemes are exposed to. Medical schemes are able to employ cross-</w:t>
      </w:r>
      <w:r w:rsidR="00D9768A">
        <w:rPr>
          <w:w w:val="103"/>
        </w:rPr>
        <w:t>subsidisation to mitigate the effect of the influx of old and sick beneficiaries.</w:t>
      </w:r>
    </w:p>
    <w:p w:rsidR="00AB37A8" w:rsidRPr="00F26530" w:rsidRDefault="00B909C6" w:rsidP="00150FA7">
      <w:pPr>
        <w:pStyle w:val="ListParagraph"/>
        <w:numPr>
          <w:ilvl w:val="0"/>
          <w:numId w:val="25"/>
        </w:numPr>
        <w:rPr>
          <w:caps/>
        </w:rPr>
      </w:pPr>
      <w:r w:rsidRPr="00F26530">
        <w:rPr>
          <w:caps/>
        </w:rPr>
        <w:t>Data</w:t>
      </w:r>
    </w:p>
    <w:p w:rsidR="005705BA" w:rsidRPr="005705BA" w:rsidRDefault="005705BA" w:rsidP="00AD0700">
      <w:pPr>
        <w:jc w:val="both"/>
        <w:rPr>
          <w:color w:val="000000"/>
          <w:spacing w:val="-5"/>
          <w:szCs w:val="24"/>
        </w:rPr>
      </w:pPr>
      <w:r w:rsidRPr="005705BA">
        <w:lastRenderedPageBreak/>
        <w:t>The d</w:t>
      </w:r>
      <w:r>
        <w:t>ata used in this investigation we</w:t>
      </w:r>
      <w:r w:rsidR="00DE67A3">
        <w:t>re provided by Medscheme:</w:t>
      </w:r>
      <w:r w:rsidRPr="005705BA">
        <w:t xml:space="preserve"> South Africa's largest</w:t>
      </w:r>
      <w:r w:rsidR="003F3BB2">
        <w:t xml:space="preserve"> </w:t>
      </w:r>
      <w:r w:rsidRPr="005705BA">
        <w:t>managed</w:t>
      </w:r>
      <w:r w:rsidR="00211B15">
        <w:t xml:space="preserve"> </w:t>
      </w:r>
      <w:r w:rsidRPr="005705BA">
        <w:t>care</w:t>
      </w:r>
      <w:r w:rsidR="00211B15">
        <w:t xml:space="preserve"> </w:t>
      </w:r>
      <w:r w:rsidRPr="005705BA">
        <w:t>service</w:t>
      </w:r>
      <w:r w:rsidR="00211B15">
        <w:t xml:space="preserve"> </w:t>
      </w:r>
      <w:r w:rsidRPr="005705BA">
        <w:t>provider</w:t>
      </w:r>
      <w:r w:rsidR="00211B15">
        <w:t xml:space="preserve"> </w:t>
      </w:r>
      <w:r w:rsidRPr="005705BA">
        <w:t>and</w:t>
      </w:r>
      <w:r w:rsidR="00211B15">
        <w:t xml:space="preserve"> </w:t>
      </w:r>
      <w:r w:rsidRPr="005705BA">
        <w:t>third</w:t>
      </w:r>
      <w:r w:rsidR="00211B15">
        <w:t xml:space="preserve"> </w:t>
      </w:r>
      <w:r w:rsidRPr="005705BA">
        <w:t>largest</w:t>
      </w:r>
      <w:r w:rsidR="00211B15">
        <w:t xml:space="preserve"> </w:t>
      </w:r>
      <w:r w:rsidRPr="005705BA">
        <w:t>medical</w:t>
      </w:r>
      <w:r w:rsidR="00211B15">
        <w:t xml:space="preserve"> </w:t>
      </w:r>
      <w:r w:rsidRPr="005705BA">
        <w:t xml:space="preserve">scheme </w:t>
      </w:r>
      <w:r w:rsidRPr="005705BA">
        <w:rPr>
          <w:color w:val="000000"/>
          <w:spacing w:val="-3"/>
          <w:szCs w:val="24"/>
        </w:rPr>
        <w:t>administrator</w:t>
      </w:r>
      <w:r>
        <w:rPr>
          <w:color w:val="000000"/>
          <w:spacing w:val="-3"/>
          <w:szCs w:val="24"/>
        </w:rPr>
        <w:t xml:space="preserve"> </w:t>
      </w:r>
      <w:r w:rsidR="009040E7">
        <w:rPr>
          <w:color w:val="000000"/>
          <w:spacing w:val="-3"/>
          <w:szCs w:val="24"/>
        </w:rPr>
        <w:fldChar w:fldCharType="begin"/>
      </w:r>
      <w:r w:rsidR="00652BAC">
        <w:rPr>
          <w:color w:val="000000"/>
          <w:spacing w:val="-3"/>
          <w:szCs w:val="24"/>
        </w:rPr>
        <w:instrText xml:space="preserve"> ADDIN EN.CITE &lt;EndNote&gt;&lt;Cite&gt;&lt;Year&gt;2012&lt;/Year&gt;&lt;RecNum&gt;32&lt;/RecNum&gt;&lt;DisplayText&gt;(Medscheme, 2012)&lt;/DisplayText&gt;&lt;record&gt;&lt;rec-number&gt;32&lt;/rec-number&gt;&lt;foreign-keys&gt;&lt;key app="EN" db-id="x2dxrtfwlt0dd3erpz9va5vq5p5xret9aw5d"&gt;32&lt;/key&gt;&lt;/foreign-keys&gt;&lt;ref-type name="Web Page"&gt;12&lt;/ref-type&gt;&lt;contributors&gt;&lt;authors&gt;&lt;author&gt;Medscheme&lt;/author&gt;&lt;/authors&gt;&lt;/contributors&gt;&lt;titles&gt;&lt;title&gt;About Medscheme&lt;/title&gt;&lt;/titles&gt;&lt;volume&gt;2012&lt;/volume&gt;&lt;number&gt;August 8&lt;/number&gt;&lt;dates&gt;&lt;year&gt;2012&lt;/year&gt;&lt;/dates&gt;&lt;urls&gt;&lt;related-urls&gt;&lt;url&gt;http://www.medscheme.com/about-us &lt;/url&gt;&lt;/related-urls&gt;&lt;/urls&gt;&lt;/record&gt;&lt;/Cite&gt;&lt;/EndNote&gt;</w:instrText>
      </w:r>
      <w:r w:rsidR="009040E7">
        <w:rPr>
          <w:color w:val="000000"/>
          <w:spacing w:val="-3"/>
          <w:szCs w:val="24"/>
        </w:rPr>
        <w:fldChar w:fldCharType="separate"/>
      </w:r>
      <w:r w:rsidR="00652BAC">
        <w:rPr>
          <w:noProof/>
          <w:color w:val="000000"/>
          <w:spacing w:val="-3"/>
          <w:szCs w:val="24"/>
        </w:rPr>
        <w:t>(</w:t>
      </w:r>
      <w:hyperlink w:anchor="_ENREF_15" w:tooltip="Medscheme, 2012 #32" w:history="1">
        <w:r w:rsidR="00423904">
          <w:rPr>
            <w:noProof/>
            <w:color w:val="000000"/>
            <w:spacing w:val="-3"/>
            <w:szCs w:val="24"/>
          </w:rPr>
          <w:t>Medscheme, 2012</w:t>
        </w:r>
      </w:hyperlink>
      <w:r w:rsidR="00652BAC">
        <w:rPr>
          <w:noProof/>
          <w:color w:val="000000"/>
          <w:spacing w:val="-3"/>
          <w:szCs w:val="24"/>
        </w:rPr>
        <w:t>)</w:t>
      </w:r>
      <w:r w:rsidR="009040E7">
        <w:rPr>
          <w:color w:val="000000"/>
          <w:spacing w:val="-3"/>
          <w:szCs w:val="24"/>
        </w:rPr>
        <w:fldChar w:fldCharType="end"/>
      </w:r>
      <w:r w:rsidR="00616F79">
        <w:rPr>
          <w:color w:val="000000"/>
          <w:w w:val="104"/>
          <w:szCs w:val="24"/>
        </w:rPr>
        <w:t>. The data pertain</w:t>
      </w:r>
      <w:r w:rsidRPr="005705BA">
        <w:rPr>
          <w:color w:val="000000"/>
          <w:w w:val="104"/>
          <w:szCs w:val="24"/>
        </w:rPr>
        <w:t xml:space="preserve"> to</w:t>
      </w:r>
      <w:r>
        <w:rPr>
          <w:color w:val="000000"/>
          <w:w w:val="104"/>
          <w:szCs w:val="24"/>
        </w:rPr>
        <w:t xml:space="preserve"> </w:t>
      </w:r>
      <w:r w:rsidRPr="005705BA">
        <w:rPr>
          <w:color w:val="000000"/>
          <w:w w:val="104"/>
          <w:szCs w:val="24"/>
        </w:rPr>
        <w:t>18 medical</w:t>
      </w:r>
      <w:r>
        <w:rPr>
          <w:color w:val="000000"/>
          <w:w w:val="104"/>
          <w:szCs w:val="24"/>
        </w:rPr>
        <w:t xml:space="preserve"> </w:t>
      </w:r>
      <w:r w:rsidRPr="005705BA">
        <w:rPr>
          <w:color w:val="000000"/>
          <w:szCs w:val="24"/>
        </w:rPr>
        <w:t>sche</w:t>
      </w:r>
      <w:r w:rsidR="003F3BB2">
        <w:rPr>
          <w:color w:val="000000"/>
          <w:szCs w:val="24"/>
        </w:rPr>
        <w:t xml:space="preserve">mes administrated by Medscheme. </w:t>
      </w:r>
      <w:r w:rsidRPr="005705BA">
        <w:rPr>
          <w:color w:val="000000"/>
          <w:szCs w:val="24"/>
        </w:rPr>
        <w:t>The schemes and their beneficiaries are</w:t>
      </w:r>
      <w:r w:rsidR="00663988">
        <w:rPr>
          <w:color w:val="000000"/>
          <w:szCs w:val="24"/>
        </w:rPr>
        <w:t xml:space="preserve"> </w:t>
      </w:r>
      <w:r w:rsidRPr="005705BA">
        <w:rPr>
          <w:color w:val="000000"/>
          <w:w w:val="103"/>
          <w:szCs w:val="24"/>
        </w:rPr>
        <w:t>de-identified in orde</w:t>
      </w:r>
      <w:r w:rsidR="003F3BB2">
        <w:rPr>
          <w:color w:val="000000"/>
          <w:w w:val="103"/>
          <w:szCs w:val="24"/>
        </w:rPr>
        <w:t xml:space="preserve">r to ensure anonymity. The data </w:t>
      </w:r>
      <w:r w:rsidR="00616F79">
        <w:rPr>
          <w:color w:val="000000"/>
          <w:w w:val="103"/>
          <w:szCs w:val="24"/>
        </w:rPr>
        <w:t>provide</w:t>
      </w:r>
      <w:r w:rsidRPr="005705BA">
        <w:rPr>
          <w:color w:val="000000"/>
          <w:w w:val="103"/>
          <w:szCs w:val="24"/>
        </w:rPr>
        <w:t xml:space="preserve"> information on</w:t>
      </w:r>
      <w:r w:rsidR="00663988">
        <w:rPr>
          <w:color w:val="000000"/>
          <w:w w:val="103"/>
          <w:szCs w:val="24"/>
        </w:rPr>
        <w:t xml:space="preserve"> </w:t>
      </w:r>
      <w:r w:rsidRPr="005705BA">
        <w:rPr>
          <w:color w:val="000000"/>
          <w:spacing w:val="-4"/>
          <w:szCs w:val="24"/>
        </w:rPr>
        <w:t xml:space="preserve">approximately three million beneficiaries during </w:t>
      </w:r>
      <w:r w:rsidR="003F3BB2">
        <w:rPr>
          <w:color w:val="000000"/>
          <w:szCs w:val="24"/>
        </w:rPr>
        <w:t xml:space="preserve">the four year period </w:t>
      </w:r>
      <w:r w:rsidRPr="005705BA">
        <w:rPr>
          <w:color w:val="000000"/>
          <w:szCs w:val="24"/>
        </w:rPr>
        <w:t xml:space="preserve">spanning from the beginning of January 2008 to the end of </w:t>
      </w:r>
      <w:r w:rsidRPr="005705BA">
        <w:rPr>
          <w:color w:val="000000"/>
          <w:spacing w:val="-3"/>
          <w:szCs w:val="24"/>
        </w:rPr>
        <w:t xml:space="preserve">December </w:t>
      </w:r>
      <w:r w:rsidRPr="005705BA">
        <w:rPr>
          <w:color w:val="000000"/>
          <w:w w:val="102"/>
          <w:szCs w:val="24"/>
        </w:rPr>
        <w:t>2011.</w:t>
      </w:r>
      <w:r w:rsidR="00211B15">
        <w:rPr>
          <w:color w:val="000000"/>
          <w:w w:val="102"/>
          <w:szCs w:val="24"/>
        </w:rPr>
        <w:t xml:space="preserve"> </w:t>
      </w:r>
      <w:r w:rsidRPr="005705BA">
        <w:rPr>
          <w:color w:val="000000"/>
          <w:w w:val="102"/>
          <w:szCs w:val="24"/>
        </w:rPr>
        <w:t>The</w:t>
      </w:r>
      <w:r w:rsidR="00211B15">
        <w:rPr>
          <w:color w:val="000000"/>
          <w:w w:val="102"/>
          <w:szCs w:val="24"/>
        </w:rPr>
        <w:t xml:space="preserve"> </w:t>
      </w:r>
      <w:r w:rsidRPr="005705BA">
        <w:rPr>
          <w:color w:val="000000"/>
          <w:w w:val="102"/>
          <w:szCs w:val="24"/>
        </w:rPr>
        <w:t>number</w:t>
      </w:r>
      <w:r w:rsidR="00211B15">
        <w:rPr>
          <w:color w:val="000000"/>
          <w:w w:val="102"/>
          <w:szCs w:val="24"/>
        </w:rPr>
        <w:t xml:space="preserve"> </w:t>
      </w:r>
      <w:r w:rsidRPr="005705BA">
        <w:rPr>
          <w:color w:val="000000"/>
          <w:w w:val="102"/>
          <w:szCs w:val="24"/>
        </w:rPr>
        <w:t>of</w:t>
      </w:r>
      <w:r w:rsidR="003F3BB2">
        <w:rPr>
          <w:color w:val="000000"/>
          <w:w w:val="102"/>
          <w:szCs w:val="24"/>
        </w:rPr>
        <w:t xml:space="preserve"> </w:t>
      </w:r>
      <w:r w:rsidRPr="005705BA">
        <w:rPr>
          <w:color w:val="000000"/>
          <w:w w:val="102"/>
          <w:szCs w:val="24"/>
        </w:rPr>
        <w:t>beneficiaries</w:t>
      </w:r>
      <w:r w:rsidR="00211B15">
        <w:rPr>
          <w:color w:val="000000"/>
          <w:w w:val="102"/>
          <w:szCs w:val="24"/>
        </w:rPr>
        <w:t xml:space="preserve"> </w:t>
      </w:r>
      <w:r w:rsidRPr="005705BA">
        <w:rPr>
          <w:color w:val="000000"/>
          <w:w w:val="102"/>
          <w:szCs w:val="24"/>
        </w:rPr>
        <w:t>that</w:t>
      </w:r>
      <w:r w:rsidR="00211B15">
        <w:rPr>
          <w:color w:val="000000"/>
          <w:w w:val="102"/>
          <w:szCs w:val="24"/>
        </w:rPr>
        <w:t xml:space="preserve"> </w:t>
      </w:r>
      <w:r w:rsidRPr="005705BA">
        <w:rPr>
          <w:color w:val="000000"/>
          <w:w w:val="102"/>
          <w:szCs w:val="24"/>
        </w:rPr>
        <w:t>are</w:t>
      </w:r>
      <w:r w:rsidR="00211B15">
        <w:rPr>
          <w:color w:val="000000"/>
          <w:w w:val="102"/>
          <w:szCs w:val="24"/>
        </w:rPr>
        <w:t xml:space="preserve"> </w:t>
      </w:r>
      <w:r w:rsidRPr="005705BA">
        <w:rPr>
          <w:color w:val="000000"/>
          <w:w w:val="102"/>
          <w:szCs w:val="24"/>
        </w:rPr>
        <w:t>considered</w:t>
      </w:r>
      <w:r w:rsidR="00211B15">
        <w:rPr>
          <w:color w:val="000000"/>
          <w:w w:val="102"/>
          <w:szCs w:val="24"/>
        </w:rPr>
        <w:t xml:space="preserve"> </w:t>
      </w:r>
      <w:r w:rsidRPr="005705BA">
        <w:rPr>
          <w:color w:val="000000"/>
          <w:w w:val="102"/>
          <w:szCs w:val="24"/>
        </w:rPr>
        <w:t>in</w:t>
      </w:r>
      <w:r w:rsidR="00211B15">
        <w:rPr>
          <w:color w:val="000000"/>
          <w:w w:val="102"/>
          <w:szCs w:val="24"/>
        </w:rPr>
        <w:t xml:space="preserve"> </w:t>
      </w:r>
      <w:r w:rsidRPr="005705BA">
        <w:rPr>
          <w:color w:val="000000"/>
          <w:w w:val="102"/>
          <w:szCs w:val="24"/>
        </w:rPr>
        <w:t xml:space="preserve">the </w:t>
      </w:r>
      <w:r w:rsidRPr="005705BA">
        <w:rPr>
          <w:color w:val="000000"/>
          <w:spacing w:val="-2"/>
          <w:szCs w:val="24"/>
        </w:rPr>
        <w:t>investigation is s</w:t>
      </w:r>
      <w:r w:rsidR="003F3BB2">
        <w:rPr>
          <w:color w:val="000000"/>
          <w:spacing w:val="-2"/>
          <w:szCs w:val="24"/>
        </w:rPr>
        <w:t>ubstantial</w:t>
      </w:r>
      <w:r w:rsidR="00616F79">
        <w:rPr>
          <w:color w:val="000000"/>
          <w:spacing w:val="-2"/>
          <w:szCs w:val="24"/>
        </w:rPr>
        <w:t>,</w:t>
      </w:r>
      <w:r w:rsidR="003F3BB2">
        <w:rPr>
          <w:color w:val="000000"/>
          <w:spacing w:val="-2"/>
          <w:szCs w:val="24"/>
        </w:rPr>
        <w:t xml:space="preserve"> bearing in mind that </w:t>
      </w:r>
      <w:r w:rsidRPr="005705BA">
        <w:rPr>
          <w:color w:val="000000"/>
          <w:spacing w:val="-2"/>
          <w:szCs w:val="24"/>
        </w:rPr>
        <w:t xml:space="preserve">there are currently a total of </w:t>
      </w:r>
      <w:r w:rsidRPr="005705BA">
        <w:rPr>
          <w:color w:val="000000"/>
          <w:w w:val="102"/>
          <w:szCs w:val="24"/>
        </w:rPr>
        <w:t>approximately eight million</w:t>
      </w:r>
      <w:r w:rsidR="003F3BB2">
        <w:rPr>
          <w:color w:val="000000"/>
          <w:w w:val="102"/>
          <w:szCs w:val="24"/>
        </w:rPr>
        <w:t xml:space="preserve"> individuals covered by medical </w:t>
      </w:r>
      <w:r w:rsidRPr="005705BA">
        <w:rPr>
          <w:color w:val="000000"/>
          <w:w w:val="102"/>
          <w:szCs w:val="24"/>
        </w:rPr>
        <w:t xml:space="preserve">schemes in South </w:t>
      </w:r>
      <w:r w:rsidRPr="005705BA">
        <w:rPr>
          <w:color w:val="000000"/>
          <w:spacing w:val="-4"/>
          <w:szCs w:val="24"/>
        </w:rPr>
        <w:t>Africa</w:t>
      </w:r>
      <w:r>
        <w:rPr>
          <w:color w:val="000000"/>
          <w:spacing w:val="-4"/>
          <w:szCs w:val="24"/>
        </w:rPr>
        <w:t xml:space="preserve"> </w:t>
      </w:r>
      <w:r w:rsidR="009040E7">
        <w:rPr>
          <w:color w:val="000000"/>
          <w:spacing w:val="-4"/>
          <w:szCs w:val="24"/>
        </w:rPr>
        <w:fldChar w:fldCharType="begin"/>
      </w:r>
      <w:r>
        <w:rPr>
          <w:color w:val="000000"/>
          <w:spacing w:val="-4"/>
          <w:szCs w:val="24"/>
        </w:rPr>
        <w:instrText xml:space="preserve"> ADDIN EN.CITE &lt;EndNote&gt;&lt;Cite&gt;&lt;Author&gt;Council for Medical Scheme&lt;/Author&gt;&lt;Year&gt;2011&lt;/Year&gt;&lt;RecNum&gt;33&lt;/RecNum&gt;&lt;DisplayText&gt;(Council for Medical Scheme, 2011)&lt;/DisplayText&gt;&lt;record&gt;&lt;rec-number&gt;33&lt;/rec-number&gt;&lt;foreign-keys&gt;&lt;key app="EN" db-id="x2dxrtfwlt0dd3erpz9va5vq5p5xret9aw5d"&gt;33&lt;/key&gt;&lt;/foreign-keys&gt;&lt;ref-type name="Report"&gt;27&lt;/ref-type&gt;&lt;contributors&gt;&lt;authors&gt;&lt;author&gt;Council for Medical Scheme,&lt;/author&gt;&lt;/authors&gt;&lt;/contributors&gt;&lt;titles&gt;&lt;title&gt;Annual Report 2010-2011&lt;/title&gt;&lt;/titles&gt;&lt;dates&gt;&lt;year&gt;2011&lt;/year&gt;&lt;/dates&gt;&lt;pub-location&gt;Pretoria&lt;/pub-location&gt;&lt;publisher&gt;Council for Medical Schemes&lt;/publisher&gt;&lt;urls&gt;&lt;related-urls&gt;&lt;url&gt;http://www.medicalschemes.com/Publications.aspx&lt;/url&gt;&lt;/related-urls&gt;&lt;/urls&gt;&lt;/record&gt;&lt;/Cite&gt;&lt;/EndNote&gt;</w:instrText>
      </w:r>
      <w:r w:rsidR="009040E7">
        <w:rPr>
          <w:color w:val="000000"/>
          <w:spacing w:val="-4"/>
          <w:szCs w:val="24"/>
        </w:rPr>
        <w:fldChar w:fldCharType="separate"/>
      </w:r>
      <w:r>
        <w:rPr>
          <w:noProof/>
          <w:color w:val="000000"/>
          <w:spacing w:val="-4"/>
          <w:szCs w:val="24"/>
        </w:rPr>
        <w:t>(</w:t>
      </w:r>
      <w:hyperlink w:anchor="_ENREF_5" w:tooltip="Council for Medical Scheme, 2011 #33" w:history="1">
        <w:r w:rsidR="00423904">
          <w:rPr>
            <w:noProof/>
            <w:color w:val="000000"/>
            <w:spacing w:val="-4"/>
            <w:szCs w:val="24"/>
          </w:rPr>
          <w:t>Council for Medical Scheme, 2011</w:t>
        </w:r>
      </w:hyperlink>
      <w:r>
        <w:rPr>
          <w:noProof/>
          <w:color w:val="000000"/>
          <w:spacing w:val="-4"/>
          <w:szCs w:val="24"/>
        </w:rPr>
        <w:t>)</w:t>
      </w:r>
      <w:r w:rsidR="009040E7">
        <w:rPr>
          <w:color w:val="000000"/>
          <w:spacing w:val="-4"/>
          <w:szCs w:val="24"/>
        </w:rPr>
        <w:fldChar w:fldCharType="end"/>
      </w:r>
      <w:r w:rsidR="003F3BB2">
        <w:rPr>
          <w:color w:val="000000"/>
          <w:w w:val="104"/>
          <w:szCs w:val="24"/>
        </w:rPr>
        <w:t xml:space="preserve">. The large number of </w:t>
      </w:r>
      <w:r w:rsidRPr="005705BA">
        <w:rPr>
          <w:color w:val="000000"/>
          <w:w w:val="104"/>
          <w:szCs w:val="24"/>
        </w:rPr>
        <w:t xml:space="preserve">beneficiaries </w:t>
      </w:r>
      <w:r w:rsidRPr="005705BA">
        <w:rPr>
          <w:color w:val="000000"/>
          <w:spacing w:val="-2"/>
          <w:szCs w:val="24"/>
        </w:rPr>
        <w:t xml:space="preserve">ensures that robust conclusions can be </w:t>
      </w:r>
      <w:r w:rsidR="00974456">
        <w:rPr>
          <w:color w:val="000000"/>
          <w:spacing w:val="-2"/>
          <w:szCs w:val="24"/>
        </w:rPr>
        <w:t>drawn</w:t>
      </w:r>
      <w:r w:rsidRPr="005705BA">
        <w:rPr>
          <w:color w:val="000000"/>
          <w:spacing w:val="-2"/>
          <w:szCs w:val="24"/>
        </w:rPr>
        <w:t xml:space="preserve"> from the </w:t>
      </w:r>
      <w:r w:rsidR="00974456">
        <w:rPr>
          <w:color w:val="000000"/>
          <w:spacing w:val="-2"/>
          <w:szCs w:val="24"/>
        </w:rPr>
        <w:t xml:space="preserve">results obtained </w:t>
      </w:r>
      <w:r w:rsidR="009040E7">
        <w:rPr>
          <w:color w:val="000000"/>
          <w:spacing w:val="-2"/>
          <w:szCs w:val="24"/>
        </w:rPr>
        <w:fldChar w:fldCharType="begin"/>
      </w:r>
      <w:r w:rsidR="00652BAC">
        <w:rPr>
          <w:color w:val="000000"/>
          <w:spacing w:val="-2"/>
          <w:szCs w:val="24"/>
        </w:rPr>
        <w:instrText xml:space="preserve"> ADDIN EN.CITE &lt;EndNote&gt;&lt;Cite&gt;&lt;Author&gt;Calfo&lt;/Author&gt;&lt;Year&gt;2008&lt;/Year&gt;&lt;RecNum&gt;8&lt;/RecNum&gt;&lt;DisplayText&gt;(Calfo, Smith &amp;amp; Zezza, 2008)&lt;/DisplayText&gt;&lt;record&gt;&lt;rec-number&gt;8&lt;/rec-number&gt;&lt;foreign-keys&gt;&lt;key app="EN" db-id="x2dxrtfwlt0dd3erpz9va5vq5p5xret9aw5d"&gt;8&lt;/key&gt;&lt;/foreign-keys&gt;&lt;ref-type name="Web Page"&gt;12&lt;/ref-type&gt;&lt;contributors&gt;&lt;authors&gt;&lt;author&gt;Calfo, S&lt;/author&gt;&lt;author&gt;Smith, J&lt;/author&gt;&lt;author&gt;Zezza, M&lt;/author&gt;&lt;/authors&gt;&lt;/contributors&gt;&lt;titles&gt;&lt;title&gt;Last year of life study&lt;/title&gt;&lt;/titles&gt;&lt;volume&gt;2012&lt;/volume&gt;&lt;number&gt;30 April&lt;/number&gt;&lt;dates&gt;&lt;year&gt;2008&lt;/year&gt;&lt;/dates&gt;&lt;urls&gt;&lt;related-urls&gt;&lt;url&gt;http://www.cms.hhs.gov/ActuarialStudies/downloads/Last_Year_of_Life.pdf&lt;/url&gt;&lt;/related-urls&gt;&lt;/urls&gt;&lt;/record&gt;&lt;/Cite&gt;&lt;/EndNote&gt;</w:instrText>
      </w:r>
      <w:r w:rsidR="009040E7">
        <w:rPr>
          <w:color w:val="000000"/>
          <w:spacing w:val="-2"/>
          <w:szCs w:val="24"/>
        </w:rPr>
        <w:fldChar w:fldCharType="separate"/>
      </w:r>
      <w:r w:rsidR="00652BAC">
        <w:rPr>
          <w:noProof/>
          <w:color w:val="000000"/>
          <w:spacing w:val="-2"/>
          <w:szCs w:val="24"/>
        </w:rPr>
        <w:t>(</w:t>
      </w:r>
      <w:hyperlink w:anchor="_ENREF_3" w:tooltip="Calfo, 2008 #8" w:history="1">
        <w:r w:rsidR="00423904">
          <w:rPr>
            <w:noProof/>
            <w:color w:val="000000"/>
            <w:spacing w:val="-2"/>
            <w:szCs w:val="24"/>
          </w:rPr>
          <w:t>Calfo, Smith &amp; Zezza, 2008</w:t>
        </w:r>
      </w:hyperlink>
      <w:r w:rsidR="00652BAC">
        <w:rPr>
          <w:noProof/>
          <w:color w:val="000000"/>
          <w:spacing w:val="-2"/>
          <w:szCs w:val="24"/>
        </w:rPr>
        <w:t>)</w:t>
      </w:r>
      <w:r w:rsidR="009040E7">
        <w:rPr>
          <w:color w:val="000000"/>
          <w:spacing w:val="-2"/>
          <w:szCs w:val="24"/>
        </w:rPr>
        <w:fldChar w:fldCharType="end"/>
      </w:r>
      <w:r>
        <w:rPr>
          <w:color w:val="000000"/>
          <w:spacing w:val="-2"/>
          <w:szCs w:val="24"/>
        </w:rPr>
        <w:t>.</w:t>
      </w:r>
    </w:p>
    <w:p w:rsidR="00663988" w:rsidRPr="00F26530" w:rsidRDefault="00625779" w:rsidP="00150FA7">
      <w:pPr>
        <w:rPr>
          <w:caps/>
        </w:rPr>
      </w:pPr>
      <w:r>
        <w:rPr>
          <w:caps/>
        </w:rPr>
        <w:t>4</w:t>
      </w:r>
      <w:r w:rsidR="00663988" w:rsidRPr="00F26530">
        <w:rPr>
          <w:caps/>
        </w:rPr>
        <w:t>.1</w:t>
      </w:r>
      <w:r w:rsidR="00663988" w:rsidRPr="00F26530">
        <w:rPr>
          <w:caps/>
        </w:rPr>
        <w:tab/>
        <w:t>Entire Risk Pool Data</w:t>
      </w:r>
    </w:p>
    <w:p w:rsidR="00663988" w:rsidRDefault="00663988" w:rsidP="00AD0700">
      <w:pPr>
        <w:jc w:val="both"/>
        <w:rPr>
          <w:w w:val="104"/>
        </w:rPr>
      </w:pPr>
      <w:r>
        <w:t xml:space="preserve">Summary exposure data and claims data were provided for </w:t>
      </w:r>
      <w:r w:rsidR="00616F79">
        <w:t xml:space="preserve">the entire risk pool covered by </w:t>
      </w:r>
      <w:r>
        <w:t>Medscheme-administered medical schemes. Exposure mo</w:t>
      </w:r>
      <w:r w:rsidR="00616F79">
        <w:t xml:space="preserve">nths were provided by treatment </w:t>
      </w:r>
      <w:r>
        <w:t xml:space="preserve">year, scheme code, </w:t>
      </w:r>
      <w:proofErr w:type="gramStart"/>
      <w:r>
        <w:t>year</w:t>
      </w:r>
      <w:proofErr w:type="gramEnd"/>
      <w:r>
        <w:t xml:space="preserve"> of birth, gender and province</w:t>
      </w:r>
      <w:r>
        <w:rPr>
          <w:w w:val="105"/>
        </w:rPr>
        <w:t>. The amounts claimed by</w:t>
      </w:r>
      <w:r w:rsidR="00616F79">
        <w:rPr>
          <w:w w:val="105"/>
        </w:rPr>
        <w:t xml:space="preserve"> </w:t>
      </w:r>
      <w:r>
        <w:rPr>
          <w:w w:val="105"/>
        </w:rPr>
        <w:t xml:space="preserve">beneficiaries are </w:t>
      </w:r>
      <w:r>
        <w:rPr>
          <w:w w:val="106"/>
        </w:rPr>
        <w:t>recorded in groups according to schem</w:t>
      </w:r>
      <w:r w:rsidR="00616F79">
        <w:rPr>
          <w:w w:val="106"/>
        </w:rPr>
        <w:t xml:space="preserve">e code, treatment year, year of </w:t>
      </w:r>
      <w:r>
        <w:rPr>
          <w:w w:val="106"/>
        </w:rPr>
        <w:t xml:space="preserve">birth, </w:t>
      </w:r>
      <w:r>
        <w:rPr>
          <w:w w:val="102"/>
        </w:rPr>
        <w:t xml:space="preserve">gender, province, category of expenditure, Hospital Account </w:t>
      </w:r>
      <w:r w:rsidR="00616F79">
        <w:t xml:space="preserve">Summary (HAS) </w:t>
      </w:r>
      <w:r>
        <w:t>indicator and by whether or not the claims are considered PMBs</w:t>
      </w:r>
      <w:r w:rsidR="00616F79">
        <w:rPr>
          <w:w w:val="103"/>
        </w:rPr>
        <w:t xml:space="preserve">. The HAS indicator records </w:t>
      </w:r>
      <w:r>
        <w:rPr>
          <w:w w:val="103"/>
        </w:rPr>
        <w:t xml:space="preserve">whether or not the beneficiary was </w:t>
      </w:r>
      <w:r>
        <w:rPr>
          <w:w w:val="104"/>
        </w:rPr>
        <w:t xml:space="preserve">treated in a hospital. </w:t>
      </w:r>
    </w:p>
    <w:p w:rsidR="00663988" w:rsidRDefault="00625779" w:rsidP="00625779">
      <w:pPr>
        <w:jc w:val="both"/>
      </w:pPr>
      <w:r>
        <w:rPr>
          <w:noProof/>
        </w:rPr>
        <w:drawing>
          <wp:anchor distT="0" distB="0" distL="114300" distR="114300" simplePos="0" relativeHeight="251767808" behindDoc="0" locked="0" layoutInCell="1" allowOverlap="1">
            <wp:simplePos x="0" y="0"/>
            <wp:positionH relativeFrom="column">
              <wp:posOffset>60325</wp:posOffset>
            </wp:positionH>
            <wp:positionV relativeFrom="paragraph">
              <wp:posOffset>584200</wp:posOffset>
            </wp:positionV>
            <wp:extent cx="5727700" cy="344170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63988">
        <w:rPr>
          <w:w w:val="104"/>
        </w:rPr>
        <w:t xml:space="preserve">Figure 1 illustrates total exposure </w:t>
      </w:r>
      <w:r w:rsidR="00663988">
        <w:t xml:space="preserve">according to age on 1 January </w:t>
      </w:r>
      <w:r w:rsidR="00663988">
        <w:rPr>
          <w:w w:val="104"/>
        </w:rPr>
        <w:t xml:space="preserve">for the calendar year in question. </w:t>
      </w:r>
      <w:r w:rsidR="00663988">
        <w:rPr>
          <w:spacing w:val="-4"/>
        </w:rPr>
        <w:t xml:space="preserve">It is observed that the shape of the distribution is the same for each of the four years. </w:t>
      </w:r>
    </w:p>
    <w:p w:rsidR="00663988" w:rsidRDefault="00EC15CA" w:rsidP="00B60668">
      <w:pPr>
        <w:pStyle w:val="Caption"/>
        <w:rPr>
          <w:noProof/>
        </w:rPr>
      </w:pPr>
      <w:bookmarkStart w:id="2" w:name="_Ref300824643"/>
      <w:r w:rsidRPr="009A02BB">
        <w:t xml:space="preserve">Figure </w:t>
      </w:r>
      <w:fldSimple w:instr=" SEQ Figure \* ARABIC ">
        <w:r w:rsidRPr="009A02BB">
          <w:rPr>
            <w:noProof/>
          </w:rPr>
          <w:t>1</w:t>
        </w:r>
      </w:fldSimple>
      <w:bookmarkEnd w:id="2"/>
      <w:r w:rsidRPr="009A02BB">
        <w:t xml:space="preserve">: </w:t>
      </w:r>
      <w:r>
        <w:t>Distribution of exposure according to age on 1 January for the entire risk pool of beneficiaries</w:t>
      </w:r>
    </w:p>
    <w:p w:rsidR="00663988" w:rsidRDefault="00EC15CA" w:rsidP="00AD0700">
      <w:pPr>
        <w:jc w:val="both"/>
        <w:rPr>
          <w:w w:val="103"/>
        </w:rPr>
      </w:pPr>
      <w:r>
        <w:t>The age distribution displays the key features expected in t</w:t>
      </w:r>
      <w:r w:rsidR="00616F79">
        <w:t xml:space="preserve">he South African medical scheme </w:t>
      </w:r>
      <w:r>
        <w:t xml:space="preserve">environment: anti-selection in the early adult years, followed by </w:t>
      </w:r>
      <w:r>
        <w:rPr>
          <w:w w:val="102"/>
        </w:rPr>
        <w:t xml:space="preserve">incremental </w:t>
      </w:r>
      <w:r w:rsidR="00616F79">
        <w:rPr>
          <w:spacing w:val="-2"/>
        </w:rPr>
        <w:t xml:space="preserve">increases by age </w:t>
      </w:r>
      <w:r>
        <w:rPr>
          <w:spacing w:val="-2"/>
        </w:rPr>
        <w:t>category reflecting the impact of medical scheme cove</w:t>
      </w:r>
      <w:r w:rsidR="00616F79">
        <w:rPr>
          <w:spacing w:val="-2"/>
        </w:rPr>
        <w:t xml:space="preserve">r as a condition of employment, </w:t>
      </w:r>
      <w:r w:rsidR="007F2E82">
        <w:rPr>
          <w:spacing w:val="-1"/>
        </w:rPr>
        <w:lastRenderedPageBreak/>
        <w:t xml:space="preserve">coverage declining in the later years </w:t>
      </w:r>
      <w:r>
        <w:rPr>
          <w:spacing w:val="-1"/>
        </w:rPr>
        <w:t>as people start to retir</w:t>
      </w:r>
      <w:r w:rsidR="00616F79">
        <w:rPr>
          <w:spacing w:val="-1"/>
        </w:rPr>
        <w:t xml:space="preserve">e and discontinue their medical </w:t>
      </w:r>
      <w:r>
        <w:rPr>
          <w:spacing w:val="-1"/>
        </w:rPr>
        <w:t>coverage</w:t>
      </w:r>
      <w:r w:rsidR="00616F79">
        <w:rPr>
          <w:spacing w:val="-1"/>
        </w:rPr>
        <w:t>,</w:t>
      </w:r>
      <w:r>
        <w:rPr>
          <w:w w:val="103"/>
        </w:rPr>
        <w:t xml:space="preserve"> and the impact of mortality is seen.</w:t>
      </w:r>
    </w:p>
    <w:p w:rsidR="007368E7" w:rsidRPr="00F26530" w:rsidRDefault="00625779" w:rsidP="00150FA7">
      <w:pPr>
        <w:rPr>
          <w:caps/>
        </w:rPr>
      </w:pPr>
      <w:r>
        <w:rPr>
          <w:caps/>
        </w:rPr>
        <w:t>4</w:t>
      </w:r>
      <w:r w:rsidR="007368E7" w:rsidRPr="00F26530">
        <w:rPr>
          <w:caps/>
        </w:rPr>
        <w:t>.2</w:t>
      </w:r>
      <w:r w:rsidR="007368E7" w:rsidRPr="00F26530">
        <w:rPr>
          <w:caps/>
        </w:rPr>
        <w:tab/>
        <w:t>Decedent Data</w:t>
      </w:r>
    </w:p>
    <w:p w:rsidR="00AE478C" w:rsidRDefault="007368E7" w:rsidP="00AD0700">
      <w:pPr>
        <w:jc w:val="both"/>
        <w:rPr>
          <w:spacing w:val="-3"/>
        </w:rPr>
      </w:pPr>
      <w:r>
        <w:rPr>
          <w:w w:val="106"/>
        </w:rPr>
        <w:t>There were 36711 beneficiaries who died dur</w:t>
      </w:r>
      <w:r w:rsidR="00616F79">
        <w:rPr>
          <w:w w:val="106"/>
        </w:rPr>
        <w:t xml:space="preserve">ing the four year study period </w:t>
      </w:r>
      <w:r>
        <w:rPr>
          <w:w w:val="104"/>
        </w:rPr>
        <w:t xml:space="preserve">(decedents). Unlike the data for the entire risk pool which </w:t>
      </w:r>
      <w:r w:rsidR="00C63FC0">
        <w:rPr>
          <w:w w:val="104"/>
        </w:rPr>
        <w:t xml:space="preserve">were </w:t>
      </w:r>
      <w:r>
        <w:rPr>
          <w:w w:val="104"/>
        </w:rPr>
        <w:t>provi</w:t>
      </w:r>
      <w:r w:rsidR="00407232">
        <w:rPr>
          <w:w w:val="104"/>
        </w:rPr>
        <w:t xml:space="preserve">ded in summary format, detailed </w:t>
      </w:r>
      <w:r w:rsidR="00C63FC0">
        <w:rPr>
          <w:w w:val="104"/>
        </w:rPr>
        <w:t xml:space="preserve">demographic </w:t>
      </w:r>
      <w:r>
        <w:rPr>
          <w:w w:val="104"/>
        </w:rPr>
        <w:t xml:space="preserve">records were made available for </w:t>
      </w:r>
      <w:r w:rsidR="00150FA7">
        <w:rPr>
          <w:w w:val="104"/>
        </w:rPr>
        <w:t>d</w:t>
      </w:r>
      <w:r>
        <w:rPr>
          <w:w w:val="104"/>
        </w:rPr>
        <w:t>ecedents</w:t>
      </w:r>
      <w:r>
        <w:t xml:space="preserve">. </w:t>
      </w:r>
      <w:r w:rsidR="00F80DF8">
        <w:t>The demographic data provided included the decedent’s birth date, gender, deceased date and province in which they lived</w:t>
      </w:r>
      <w:r w:rsidR="00AE478C">
        <w:rPr>
          <w:spacing w:val="-4"/>
        </w:rPr>
        <w:t xml:space="preserve">. Dates when each decedent joined and left the medical </w:t>
      </w:r>
      <w:r w:rsidR="00AE478C">
        <w:rPr>
          <w:spacing w:val="-2"/>
        </w:rPr>
        <w:t xml:space="preserve">scheme were also provided. Note that if the decedent is covered by a </w:t>
      </w:r>
      <w:r w:rsidR="00AE478C">
        <w:rPr>
          <w:spacing w:val="-1"/>
        </w:rPr>
        <w:t xml:space="preserve">medical scheme until death then the date the decedent left the medical scheme is </w:t>
      </w:r>
      <w:r w:rsidR="00AE478C">
        <w:t xml:space="preserve">recorded as the date at the end of the month of death. </w:t>
      </w:r>
      <w:r w:rsidR="00C63FC0">
        <w:t xml:space="preserve">Claims data were </w:t>
      </w:r>
      <w:r>
        <w:rPr>
          <w:spacing w:val="-2"/>
        </w:rPr>
        <w:t xml:space="preserve">grouped </w:t>
      </w:r>
      <w:r w:rsidR="00407232">
        <w:rPr>
          <w:spacing w:val="-4"/>
        </w:rPr>
        <w:t xml:space="preserve">per </w:t>
      </w:r>
      <w:r>
        <w:rPr>
          <w:spacing w:val="-4"/>
        </w:rPr>
        <w:t xml:space="preserve">treatment month, scheme code, category of expenditure, HAS indicator and by </w:t>
      </w:r>
      <w:r w:rsidR="00407232">
        <w:rPr>
          <w:spacing w:val="-3"/>
        </w:rPr>
        <w:t xml:space="preserve">whether or not the </w:t>
      </w:r>
      <w:r>
        <w:rPr>
          <w:spacing w:val="-3"/>
        </w:rPr>
        <w:t>claims were PMBs</w:t>
      </w:r>
      <w:r>
        <w:t>.</w:t>
      </w:r>
      <w:r>
        <w:rPr>
          <w:spacing w:val="-3"/>
        </w:rPr>
        <w:t xml:space="preserve"> </w:t>
      </w:r>
    </w:p>
    <w:p w:rsidR="003764F4" w:rsidRDefault="00AE478C" w:rsidP="00AD0700">
      <w:pPr>
        <w:jc w:val="both"/>
      </w:pPr>
      <w:r>
        <w:t xml:space="preserve">Due to the monthly nature of the data, the calculated exposure period is subject to possible over or under-estimation, </w:t>
      </w:r>
      <w:r>
        <w:rPr>
          <w:spacing w:val="-3"/>
        </w:rPr>
        <w:t>depending on the assumptions made in the calculation method.</w:t>
      </w:r>
      <w:r>
        <w:t xml:space="preserve"> </w:t>
      </w:r>
      <w:r w:rsidR="007368E7">
        <w:t xml:space="preserve">Figure 2 depicts the </w:t>
      </w:r>
      <w:r w:rsidR="00C63FC0">
        <w:t xml:space="preserve">exposure </w:t>
      </w:r>
      <w:r w:rsidR="004478A5">
        <w:t xml:space="preserve">in the last year of life </w:t>
      </w:r>
      <w:r w:rsidR="00C63FC0">
        <w:t xml:space="preserve">for </w:t>
      </w:r>
      <w:r w:rsidR="007368E7">
        <w:t xml:space="preserve">decedents </w:t>
      </w:r>
      <w:r w:rsidR="00407232">
        <w:t xml:space="preserve">by </w:t>
      </w:r>
      <w:r w:rsidR="00C63FC0">
        <w:rPr>
          <w:spacing w:val="-3"/>
        </w:rPr>
        <w:t xml:space="preserve">age group (where age is at </w:t>
      </w:r>
      <w:r w:rsidR="007368E7">
        <w:rPr>
          <w:spacing w:val="-1"/>
        </w:rPr>
        <w:t>the first of January for the year in which the beneficiary died</w:t>
      </w:r>
      <w:r w:rsidR="00C63FC0">
        <w:rPr>
          <w:spacing w:val="-1"/>
        </w:rPr>
        <w:t>)</w:t>
      </w:r>
      <w:r w:rsidR="007368E7">
        <w:rPr>
          <w:spacing w:val="-1"/>
        </w:rPr>
        <w:t xml:space="preserve">. </w:t>
      </w:r>
      <w:r w:rsidR="003764F4">
        <w:rPr>
          <w:spacing w:val="-1"/>
        </w:rPr>
        <w:t xml:space="preserve">Exposure figures are for the year of death only. </w:t>
      </w:r>
      <w:r w:rsidR="003764F4">
        <w:t>The number of recorded deaths (and the associated exposure) increased in each year. This is likely to represent an increase in the administrative accuracy of the recording of deaths.</w:t>
      </w:r>
    </w:p>
    <w:p w:rsidR="004C2E07" w:rsidRDefault="004C2E07" w:rsidP="00150FA7">
      <w:pPr>
        <w:rPr>
          <w:w w:val="103"/>
        </w:rPr>
      </w:pPr>
    </w:p>
    <w:p w:rsidR="004C2E07" w:rsidRDefault="004C2E07" w:rsidP="00707AA8">
      <w:pPr>
        <w:jc w:val="center"/>
        <w:rPr>
          <w:w w:val="103"/>
        </w:rPr>
      </w:pPr>
      <w:r>
        <w:rPr>
          <w:noProof/>
        </w:rPr>
        <w:drawing>
          <wp:inline distT="0" distB="0" distL="0" distR="0">
            <wp:extent cx="5731510" cy="3184172"/>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3FC0" w:rsidRDefault="00C63FC0" w:rsidP="00B60668">
      <w:pPr>
        <w:pStyle w:val="Caption"/>
        <w:rPr>
          <w:noProof/>
        </w:rPr>
      </w:pPr>
      <w:r w:rsidRPr="009A02BB">
        <w:t xml:space="preserve">Figure </w:t>
      </w:r>
      <w:fldSimple w:instr=" SEQ Figure \* ARABIC ">
        <w:r w:rsidR="000A0E24">
          <w:rPr>
            <w:noProof/>
          </w:rPr>
          <w:t>2</w:t>
        </w:r>
      </w:fldSimple>
      <w:r w:rsidRPr="009A02BB">
        <w:t xml:space="preserve">: </w:t>
      </w:r>
      <w:r>
        <w:t xml:space="preserve">Total decedent exposure </w:t>
      </w:r>
      <w:r w:rsidR="004478A5">
        <w:t xml:space="preserve">in the last year of life </w:t>
      </w:r>
      <w:r>
        <w:t xml:space="preserve">according to age on 1 January of the year of death </w:t>
      </w:r>
    </w:p>
    <w:p w:rsidR="00AB1B88" w:rsidRDefault="00C63FC0" w:rsidP="00AD0700">
      <w:pPr>
        <w:jc w:val="both"/>
        <w:rPr>
          <w:spacing w:val="-3"/>
        </w:rPr>
      </w:pPr>
      <w:r>
        <w:t>It is observed that there is low decedent exposure at</w:t>
      </w:r>
      <w:r w:rsidR="0073700A">
        <w:t xml:space="preserve"> younger ages. This is expected </w:t>
      </w:r>
      <w:r>
        <w:t xml:space="preserve">considering the </w:t>
      </w:r>
      <w:r w:rsidR="00AB1B88">
        <w:rPr>
          <w:w w:val="102"/>
        </w:rPr>
        <w:t xml:space="preserve">low mortality rates at those ages. </w:t>
      </w:r>
      <w:r w:rsidR="00F80DF8">
        <w:rPr>
          <w:w w:val="102"/>
        </w:rPr>
        <w:t>Decedent exposure increases with age.</w:t>
      </w:r>
      <w:r w:rsidR="00AB1B88">
        <w:rPr>
          <w:spacing w:val="-4"/>
        </w:rPr>
        <w:t xml:space="preserve"> </w:t>
      </w:r>
      <w:r w:rsidR="00F80DF8">
        <w:rPr>
          <w:spacing w:val="-4"/>
        </w:rPr>
        <w:t xml:space="preserve">The high level of exposure under age </w:t>
      </w:r>
      <w:r w:rsidR="00AB1B88">
        <w:rPr>
          <w:spacing w:val="-4"/>
        </w:rPr>
        <w:t>65</w:t>
      </w:r>
      <w:r w:rsidR="00F80DF8">
        <w:rPr>
          <w:spacing w:val="-4"/>
        </w:rPr>
        <w:t xml:space="preserve"> </w:t>
      </w:r>
      <w:r w:rsidR="0073700A">
        <w:rPr>
          <w:spacing w:val="-4"/>
        </w:rPr>
        <w:t xml:space="preserve">is due to the large </w:t>
      </w:r>
      <w:r w:rsidR="00AB1B88">
        <w:rPr>
          <w:spacing w:val="-4"/>
        </w:rPr>
        <w:t>size of the risk pool at</w:t>
      </w:r>
      <w:r w:rsidR="00F80DF8">
        <w:rPr>
          <w:spacing w:val="-4"/>
        </w:rPr>
        <w:t xml:space="preserve"> these ages. After age 65</w:t>
      </w:r>
      <w:r w:rsidR="00AB1B88">
        <w:rPr>
          <w:spacing w:val="-4"/>
        </w:rPr>
        <w:t xml:space="preserve"> the decedent exposure </w:t>
      </w:r>
      <w:r w:rsidR="0073700A">
        <w:rPr>
          <w:w w:val="105"/>
        </w:rPr>
        <w:t xml:space="preserve">is </w:t>
      </w:r>
      <w:r w:rsidR="00F80DF8">
        <w:rPr>
          <w:w w:val="105"/>
        </w:rPr>
        <w:t xml:space="preserve">driven by </w:t>
      </w:r>
      <w:r w:rsidR="00AB1B88">
        <w:rPr>
          <w:w w:val="105"/>
        </w:rPr>
        <w:t>rising mortality rates. After age 8</w:t>
      </w:r>
      <w:r w:rsidR="00F80DF8">
        <w:rPr>
          <w:w w:val="105"/>
        </w:rPr>
        <w:t>0</w:t>
      </w:r>
      <w:r w:rsidR="00AB1B88">
        <w:rPr>
          <w:w w:val="105"/>
        </w:rPr>
        <w:t xml:space="preserve"> the decedent </w:t>
      </w:r>
      <w:r w:rsidR="00AB1B88">
        <w:rPr>
          <w:w w:val="105"/>
        </w:rPr>
        <w:lastRenderedPageBreak/>
        <w:t xml:space="preserve">exposure </w:t>
      </w:r>
      <w:r w:rsidR="0073700A">
        <w:t xml:space="preserve">diminishes quickly because, </w:t>
      </w:r>
      <w:r w:rsidR="00AB1B88">
        <w:t>even though mortality rate</w:t>
      </w:r>
      <w:r w:rsidR="00F80DF8">
        <w:t>s are</w:t>
      </w:r>
      <w:r w:rsidR="00AB1B88">
        <w:t xml:space="preserve"> very high at those </w:t>
      </w:r>
      <w:r w:rsidR="00AB1B88">
        <w:rPr>
          <w:spacing w:val="-3"/>
        </w:rPr>
        <w:t>ages, the exposure in the risk pool is very</w:t>
      </w:r>
      <w:r w:rsidR="0073700A">
        <w:rPr>
          <w:spacing w:val="-3"/>
        </w:rPr>
        <w:t xml:space="preserve"> </w:t>
      </w:r>
      <w:r w:rsidR="00AB1B88">
        <w:rPr>
          <w:spacing w:val="-3"/>
        </w:rPr>
        <w:t xml:space="preserve">low. </w:t>
      </w:r>
    </w:p>
    <w:p w:rsidR="00AB1B88" w:rsidRDefault="00707AA8" w:rsidP="00AD0700">
      <w:pPr>
        <w:jc w:val="both"/>
        <w:rPr>
          <w:spacing w:val="-3"/>
        </w:rPr>
      </w:pPr>
      <w:r>
        <w:t>Data representing each decedent’</w:t>
      </w:r>
      <w:r w:rsidR="00AB1B88">
        <w:t xml:space="preserve">s Resource Utilisation Bands (RUBs) were also </w:t>
      </w:r>
      <w:r>
        <w:rPr>
          <w:w w:val="103"/>
        </w:rPr>
        <w:t xml:space="preserve">provided by </w:t>
      </w:r>
      <w:r w:rsidR="00AB1B88">
        <w:rPr>
          <w:w w:val="103"/>
        </w:rPr>
        <w:t>Medscheme. RUBs are</w:t>
      </w:r>
      <w:r>
        <w:rPr>
          <w:w w:val="103"/>
        </w:rPr>
        <w:t xml:space="preserve"> an indication of a beneficiary’</w:t>
      </w:r>
      <w:r w:rsidR="00AB1B88">
        <w:rPr>
          <w:w w:val="103"/>
        </w:rPr>
        <w:t xml:space="preserve">s expected </w:t>
      </w:r>
      <w:r>
        <w:rPr>
          <w:w w:val="106"/>
        </w:rPr>
        <w:t xml:space="preserve">future healthcare </w:t>
      </w:r>
      <w:r w:rsidR="00AB1B88">
        <w:rPr>
          <w:w w:val="106"/>
        </w:rPr>
        <w:t xml:space="preserve">utilisation and cost. RUBs are determined using the Johns </w:t>
      </w:r>
      <w:r>
        <w:rPr>
          <w:spacing w:val="-2"/>
        </w:rPr>
        <w:t xml:space="preserve">Hopkins Adjusted Clinical </w:t>
      </w:r>
      <w:r w:rsidR="00AB1B88">
        <w:rPr>
          <w:spacing w:val="-2"/>
        </w:rPr>
        <w:t xml:space="preserve">Groups (ACGs) Case-Mix System. ACGs are a series of </w:t>
      </w:r>
      <w:r w:rsidR="00AB1B88">
        <w:t>mutually exclusi</w:t>
      </w:r>
      <w:r>
        <w:t xml:space="preserve">ve, health status </w:t>
      </w:r>
      <w:r w:rsidR="00AB1B88">
        <w:t xml:space="preserve">categories defined by morbidity, age, and sex. </w:t>
      </w:r>
      <w:r w:rsidR="00AB1B88">
        <w:rPr>
          <w:spacing w:val="-3"/>
        </w:rPr>
        <w:t>They are based o</w:t>
      </w:r>
      <w:r>
        <w:rPr>
          <w:spacing w:val="-3"/>
        </w:rPr>
        <w:t xml:space="preserve">n the premise that the level of </w:t>
      </w:r>
      <w:r w:rsidR="00AB1B88">
        <w:rPr>
          <w:spacing w:val="-3"/>
        </w:rPr>
        <w:t xml:space="preserve">resources necessary for delivering </w:t>
      </w:r>
      <w:r w:rsidR="00AB1B88">
        <w:rPr>
          <w:spacing w:val="-2"/>
        </w:rPr>
        <w:t>appropriate healthcare to a po</w:t>
      </w:r>
      <w:r>
        <w:rPr>
          <w:spacing w:val="-2"/>
        </w:rPr>
        <w:t xml:space="preserve">pulation is correlated with the </w:t>
      </w:r>
      <w:r w:rsidR="00AB1B88">
        <w:rPr>
          <w:spacing w:val="-2"/>
        </w:rPr>
        <w:t xml:space="preserve">illness burden of that population </w:t>
      </w:r>
      <w:r w:rsidR="009040E7">
        <w:rPr>
          <w:spacing w:val="-2"/>
        </w:rPr>
        <w:fldChar w:fldCharType="begin"/>
      </w:r>
      <w:r w:rsidR="00BB5474">
        <w:rPr>
          <w:spacing w:val="-2"/>
        </w:rPr>
        <w:instrText xml:space="preserve"> ADDIN EN.CITE &lt;EndNote&gt;&lt;Cite&gt;&lt;Author&gt;The Johns Hopkins University Bloomberg School of Public Health&lt;/Author&gt;&lt;Year&gt;2009&lt;/Year&gt;&lt;RecNum&gt;34&lt;/RecNum&gt;&lt;DisplayText&gt;(The Johns Hopkins University Bloomberg School of Public Health, 2009)&lt;/DisplayText&gt;&lt;record&gt;&lt;rec-number&gt;34&lt;/rec-number&gt;&lt;foreign-keys&gt;&lt;key app="EN" db-id="x2dxrtfwlt0dd3erpz9va5vq5p5xret9aw5d"&gt;34&lt;/key&gt;&lt;/foreign-keys&gt;&lt;ref-type name="Report"&gt;27&lt;/ref-type&gt;&lt;contributors&gt;&lt;authors&gt;&lt;author&gt;The Johns Hopkins University Bloomberg School of Public Health,&lt;/author&gt;&lt;/authors&gt;&lt;/contributors&gt;&lt;titles&gt;&lt;title&gt;The Johns Hopkins ACG System Excerpt from Technical Reference Guide&lt;/title&gt;&lt;/titles&gt;&lt;number&gt;Version 9&lt;/number&gt;&lt;dates&gt;&lt;year&gt;2009&lt;/year&gt;&lt;/dates&gt;&lt;publisher&gt;Health Services Research &amp;amp; Development Center,&lt;/publisher&gt;&lt;urls&gt;&lt;related-urls&gt;&lt;url&gt;http://www.healthpartners.com/ucm/groups/public/@hp/@public/documents/documents/dev_057914.pdf &lt;/url&gt;&lt;/related-urls&gt;&lt;/urls&gt;&lt;/record&gt;&lt;/Cite&gt;&lt;/EndNote&gt;</w:instrText>
      </w:r>
      <w:r w:rsidR="009040E7">
        <w:rPr>
          <w:spacing w:val="-2"/>
        </w:rPr>
        <w:fldChar w:fldCharType="separate"/>
      </w:r>
      <w:r w:rsidR="00BB5474">
        <w:rPr>
          <w:noProof/>
          <w:spacing w:val="-2"/>
        </w:rPr>
        <w:t>(</w:t>
      </w:r>
      <w:hyperlink w:anchor="_ENREF_21" w:tooltip="The Johns Hopkins University Bloomberg School of Public Health, 2009 #34" w:history="1">
        <w:r w:rsidR="00423904">
          <w:rPr>
            <w:noProof/>
            <w:spacing w:val="-2"/>
          </w:rPr>
          <w:t>The Johns Hopkins University Bloomberg School of Public Health, 2009</w:t>
        </w:r>
      </w:hyperlink>
      <w:r w:rsidR="00BB5474">
        <w:rPr>
          <w:noProof/>
          <w:spacing w:val="-2"/>
        </w:rPr>
        <w:t>)</w:t>
      </w:r>
      <w:r w:rsidR="009040E7">
        <w:rPr>
          <w:spacing w:val="-2"/>
        </w:rPr>
        <w:fldChar w:fldCharType="end"/>
      </w:r>
      <w:r w:rsidR="00AB1B88">
        <w:rPr>
          <w:spacing w:val="-2"/>
        </w:rPr>
        <w:t xml:space="preserve">. RUB values range </w:t>
      </w:r>
      <w:bookmarkStart w:id="3" w:name="Pg11"/>
      <w:bookmarkEnd w:id="3"/>
      <w:r w:rsidR="00AB1B88">
        <w:rPr>
          <w:spacing w:val="-1"/>
        </w:rPr>
        <w:t>from 1 to 5 and are assi</w:t>
      </w:r>
      <w:r>
        <w:rPr>
          <w:spacing w:val="-1"/>
        </w:rPr>
        <w:t xml:space="preserve">gned to various combinations of </w:t>
      </w:r>
      <w:r w:rsidR="00AB1B88">
        <w:rPr>
          <w:spacing w:val="-1"/>
        </w:rPr>
        <w:t xml:space="preserve">ACGs. Each combination </w:t>
      </w:r>
      <w:r w:rsidR="00AB1B88">
        <w:t>that has the same RUB value is tho</w:t>
      </w:r>
      <w:r>
        <w:t xml:space="preserve">ught to consume a similar level </w:t>
      </w:r>
      <w:r w:rsidR="00AB1B88">
        <w:t xml:space="preserve">of healthcare </w:t>
      </w:r>
      <w:r w:rsidR="00AB1B88">
        <w:rPr>
          <w:w w:val="105"/>
        </w:rPr>
        <w:t>costs. The higher the RUB value, th</w:t>
      </w:r>
      <w:r>
        <w:rPr>
          <w:w w:val="105"/>
        </w:rPr>
        <w:t xml:space="preserve">e higher the predicted resource </w:t>
      </w:r>
      <w:r w:rsidR="00150FA7">
        <w:rPr>
          <w:w w:val="105"/>
        </w:rPr>
        <w:t>u</w:t>
      </w:r>
      <w:r w:rsidR="00AB1B88">
        <w:rPr>
          <w:w w:val="105"/>
        </w:rPr>
        <w:t xml:space="preserve">tilisation </w:t>
      </w:r>
      <w:r w:rsidR="00AB1B88">
        <w:rPr>
          <w:w w:val="104"/>
        </w:rPr>
        <w:t xml:space="preserve">from that beneficiary. RUBs </w:t>
      </w:r>
      <w:r w:rsidR="00BB5474">
        <w:rPr>
          <w:w w:val="104"/>
        </w:rPr>
        <w:t xml:space="preserve">were </w:t>
      </w:r>
      <w:r w:rsidR="00AB1B88">
        <w:rPr>
          <w:w w:val="104"/>
        </w:rPr>
        <w:t xml:space="preserve">provided only for beneficiaries </w:t>
      </w:r>
      <w:r>
        <w:rPr>
          <w:spacing w:val="-3"/>
        </w:rPr>
        <w:t xml:space="preserve">who have </w:t>
      </w:r>
      <w:r w:rsidR="00AB1B88">
        <w:rPr>
          <w:spacing w:val="-3"/>
        </w:rPr>
        <w:t xml:space="preserve">exposure greater than six months. </w:t>
      </w:r>
    </w:p>
    <w:p w:rsidR="00625779" w:rsidRDefault="00AB1B88" w:rsidP="00AD0700">
      <w:pPr>
        <w:jc w:val="both"/>
        <w:rPr>
          <w:spacing w:val="-3"/>
        </w:rPr>
      </w:pPr>
      <w:r>
        <w:rPr>
          <w:w w:val="105"/>
        </w:rPr>
        <w:t xml:space="preserve">Finally, to obtain data on those beneficiaries that did not die during the study </w:t>
      </w:r>
      <w:r>
        <w:rPr>
          <w:spacing w:val="-3"/>
        </w:rPr>
        <w:t xml:space="preserve">period </w:t>
      </w:r>
      <w:r>
        <w:rPr>
          <w:w w:val="103"/>
        </w:rPr>
        <w:t xml:space="preserve">(survivors), the </w:t>
      </w:r>
      <w:r w:rsidR="00BB5474">
        <w:rPr>
          <w:w w:val="103"/>
        </w:rPr>
        <w:t xml:space="preserve">relevant </w:t>
      </w:r>
      <w:r>
        <w:rPr>
          <w:w w:val="103"/>
        </w:rPr>
        <w:t xml:space="preserve">decedent data </w:t>
      </w:r>
      <w:r w:rsidR="00BB5474">
        <w:rPr>
          <w:w w:val="103"/>
        </w:rPr>
        <w:t xml:space="preserve">were </w:t>
      </w:r>
      <w:r>
        <w:rPr>
          <w:w w:val="103"/>
        </w:rPr>
        <w:t xml:space="preserve">subtracted from the data </w:t>
      </w:r>
      <w:r>
        <w:rPr>
          <w:spacing w:val="-3"/>
        </w:rPr>
        <w:t xml:space="preserve">pertaining to the entire risk pool. </w:t>
      </w:r>
    </w:p>
    <w:p w:rsidR="00AB1B88" w:rsidRPr="00F26530" w:rsidRDefault="00625779" w:rsidP="00150FA7">
      <w:pPr>
        <w:rPr>
          <w:caps/>
        </w:rPr>
      </w:pPr>
      <w:r>
        <w:rPr>
          <w:caps/>
        </w:rPr>
        <w:t>4</w:t>
      </w:r>
      <w:r w:rsidR="00AB1B88" w:rsidRPr="00F26530">
        <w:rPr>
          <w:caps/>
        </w:rPr>
        <w:t xml:space="preserve">.3 Additional Notes on Data </w:t>
      </w:r>
    </w:p>
    <w:p w:rsidR="00AB1B88" w:rsidRDefault="00AB1B88" w:rsidP="00AD0700">
      <w:pPr>
        <w:jc w:val="both"/>
        <w:rPr>
          <w:spacing w:val="-3"/>
        </w:rPr>
      </w:pPr>
      <w:r>
        <w:rPr>
          <w:spacing w:val="-3"/>
        </w:rPr>
        <w:t>Two further comments need to be made concerning the above data.</w:t>
      </w:r>
      <w:r w:rsidR="00211B15">
        <w:rPr>
          <w:spacing w:val="-3"/>
        </w:rPr>
        <w:t xml:space="preserve"> </w:t>
      </w:r>
      <w:r w:rsidR="00707AA8">
        <w:rPr>
          <w:spacing w:val="-3"/>
        </w:rPr>
        <w:t xml:space="preserve">First, the data </w:t>
      </w:r>
      <w:r>
        <w:rPr>
          <w:w w:val="102"/>
        </w:rPr>
        <w:t>on beneficiaries</w:t>
      </w:r>
      <w:r w:rsidR="00BB5474">
        <w:rPr>
          <w:w w:val="102"/>
        </w:rPr>
        <w:t xml:space="preserve">’ </w:t>
      </w:r>
      <w:r w:rsidR="00DE5092">
        <w:rPr>
          <w:w w:val="102"/>
        </w:rPr>
        <w:t>claims histories include</w:t>
      </w:r>
      <w:r>
        <w:rPr>
          <w:w w:val="102"/>
        </w:rPr>
        <w:t>, both,</w:t>
      </w:r>
      <w:r w:rsidR="00707AA8">
        <w:rPr>
          <w:w w:val="102"/>
        </w:rPr>
        <w:t xml:space="preserve"> the amount that beneficiaries </w:t>
      </w:r>
      <w:r>
        <w:rPr>
          <w:spacing w:val="-2"/>
        </w:rPr>
        <w:t>submitted</w:t>
      </w:r>
      <w:r w:rsidR="00211B15">
        <w:rPr>
          <w:spacing w:val="-2"/>
        </w:rPr>
        <w:t xml:space="preserve"> </w:t>
      </w:r>
      <w:r>
        <w:rPr>
          <w:spacing w:val="-2"/>
        </w:rPr>
        <w:t>to</w:t>
      </w:r>
      <w:r w:rsidR="00211B15">
        <w:rPr>
          <w:spacing w:val="-2"/>
        </w:rPr>
        <w:t xml:space="preserve"> </w:t>
      </w:r>
      <w:r>
        <w:rPr>
          <w:spacing w:val="-2"/>
        </w:rPr>
        <w:t>medical</w:t>
      </w:r>
      <w:r w:rsidR="00211B15">
        <w:rPr>
          <w:spacing w:val="-2"/>
        </w:rPr>
        <w:t xml:space="preserve"> </w:t>
      </w:r>
      <w:r>
        <w:rPr>
          <w:spacing w:val="-2"/>
        </w:rPr>
        <w:t>scheme</w:t>
      </w:r>
      <w:r w:rsidR="00211B15">
        <w:rPr>
          <w:spacing w:val="-2"/>
        </w:rPr>
        <w:t xml:space="preserve"> </w:t>
      </w:r>
      <w:r>
        <w:rPr>
          <w:spacing w:val="-2"/>
        </w:rPr>
        <w:t>for</w:t>
      </w:r>
      <w:r w:rsidR="00211B15">
        <w:rPr>
          <w:spacing w:val="-2"/>
        </w:rPr>
        <w:t xml:space="preserve"> </w:t>
      </w:r>
      <w:r>
        <w:rPr>
          <w:spacing w:val="-2"/>
        </w:rPr>
        <w:t xml:space="preserve">reimbursement </w:t>
      </w:r>
      <w:r>
        <w:rPr>
          <w:w w:val="102"/>
        </w:rPr>
        <w:t>(recorded</w:t>
      </w:r>
      <w:r w:rsidR="00211B15">
        <w:rPr>
          <w:w w:val="102"/>
        </w:rPr>
        <w:t xml:space="preserve"> </w:t>
      </w:r>
      <w:r>
        <w:rPr>
          <w:w w:val="102"/>
        </w:rPr>
        <w:t xml:space="preserve">as the </w:t>
      </w:r>
      <w:r w:rsidRPr="00BB5474">
        <w:t>claimed</w:t>
      </w:r>
      <w:r>
        <w:rPr>
          <w:spacing w:val="-11"/>
          <w:w w:val="90"/>
        </w:rPr>
        <w:t xml:space="preserve"> </w:t>
      </w:r>
      <w:r>
        <w:rPr>
          <w:w w:val="105"/>
        </w:rPr>
        <w:t>amount by Medscheme) as well as the amou</w:t>
      </w:r>
      <w:r w:rsidR="00707AA8">
        <w:rPr>
          <w:w w:val="105"/>
        </w:rPr>
        <w:t xml:space="preserve">nt the medical scheme actually </w:t>
      </w:r>
      <w:r>
        <w:rPr>
          <w:spacing w:val="-1"/>
        </w:rPr>
        <w:t>reimbursed the</w:t>
      </w:r>
      <w:r w:rsidR="00211B15">
        <w:rPr>
          <w:spacing w:val="-1"/>
        </w:rPr>
        <w:t xml:space="preserve"> </w:t>
      </w:r>
      <w:r>
        <w:rPr>
          <w:spacing w:val="-1"/>
        </w:rPr>
        <w:t xml:space="preserve">beneficiary </w:t>
      </w:r>
      <w:r>
        <w:rPr>
          <w:w w:val="106"/>
        </w:rPr>
        <w:t xml:space="preserve">(recorded as </w:t>
      </w:r>
      <w:r w:rsidR="00707AA8">
        <w:rPr>
          <w:w w:val="106"/>
        </w:rPr>
        <w:t xml:space="preserve">the </w:t>
      </w:r>
      <w:r w:rsidR="00BB5474">
        <w:rPr>
          <w:w w:val="106"/>
        </w:rPr>
        <w:t>r</w:t>
      </w:r>
      <w:r>
        <w:rPr>
          <w:spacing w:val="-2"/>
        </w:rPr>
        <w:t>isk amount</w:t>
      </w:r>
      <w:r w:rsidR="00BB5474">
        <w:rPr>
          <w:spacing w:val="-2"/>
        </w:rPr>
        <w:t xml:space="preserve"> by</w:t>
      </w:r>
      <w:r w:rsidR="00211B15">
        <w:rPr>
          <w:spacing w:val="-2"/>
        </w:rPr>
        <w:t xml:space="preserve"> </w:t>
      </w:r>
      <w:r w:rsidR="00BB5474">
        <w:rPr>
          <w:spacing w:val="-2"/>
        </w:rPr>
        <w:t>Medscheme). T</w:t>
      </w:r>
      <w:r>
        <w:rPr>
          <w:spacing w:val="-3"/>
        </w:rPr>
        <w:t>he risk amount is always less than or equal</w:t>
      </w:r>
      <w:r w:rsidR="00BB5474">
        <w:rPr>
          <w:spacing w:val="-3"/>
        </w:rPr>
        <w:t xml:space="preserve"> </w:t>
      </w:r>
      <w:r w:rsidR="00707AA8">
        <w:rPr>
          <w:w w:val="102"/>
        </w:rPr>
        <w:t xml:space="preserve">to the claimed </w:t>
      </w:r>
      <w:r>
        <w:rPr>
          <w:w w:val="102"/>
        </w:rPr>
        <w:t>amount. For the entire risk pool the total claimed amount</w:t>
      </w:r>
      <w:r w:rsidR="00BB5474">
        <w:rPr>
          <w:w w:val="102"/>
        </w:rPr>
        <w:t xml:space="preserve"> </w:t>
      </w:r>
      <w:r w:rsidR="00707AA8">
        <w:rPr>
          <w:w w:val="105"/>
        </w:rPr>
        <w:t xml:space="preserve">during the study period is </w:t>
      </w:r>
      <w:r>
        <w:rPr>
          <w:w w:val="105"/>
        </w:rPr>
        <w:t xml:space="preserve">approximately </w:t>
      </w:r>
      <w:r>
        <w:rPr>
          <w:w w:val="107"/>
        </w:rPr>
        <w:t xml:space="preserve">10.6% higher than the total </w:t>
      </w:r>
      <w:r w:rsidRPr="00BB5474">
        <w:t>risk</w:t>
      </w:r>
      <w:r>
        <w:rPr>
          <w:spacing w:val="-11"/>
          <w:w w:val="80"/>
        </w:rPr>
        <w:t xml:space="preserve"> </w:t>
      </w:r>
      <w:r w:rsidR="00BB5474">
        <w:rPr>
          <w:spacing w:val="-2"/>
        </w:rPr>
        <w:t>a</w:t>
      </w:r>
      <w:r>
        <w:rPr>
          <w:spacing w:val="-2"/>
        </w:rPr>
        <w:t>mount. When considering just the</w:t>
      </w:r>
      <w:r w:rsidR="00707AA8">
        <w:rPr>
          <w:spacing w:val="-2"/>
        </w:rPr>
        <w:t xml:space="preserve"> </w:t>
      </w:r>
      <w:r>
        <w:rPr>
          <w:spacing w:val="-2"/>
        </w:rPr>
        <w:t xml:space="preserve">decedents, this figure drops to approximately </w:t>
      </w:r>
      <w:r>
        <w:rPr>
          <w:spacing w:val="-1"/>
        </w:rPr>
        <w:t>4.2%. The</w:t>
      </w:r>
      <w:r w:rsidR="00707AA8">
        <w:rPr>
          <w:spacing w:val="-1"/>
        </w:rPr>
        <w:t xml:space="preserve"> difference between the claimed </w:t>
      </w:r>
      <w:r>
        <w:rPr>
          <w:spacing w:val="-1"/>
        </w:rPr>
        <w:t xml:space="preserve">amount and risk amount would </w:t>
      </w:r>
      <w:r w:rsidR="00BB5474">
        <w:rPr>
          <w:w w:val="104"/>
        </w:rPr>
        <w:t>have</w:t>
      </w:r>
      <w:r>
        <w:rPr>
          <w:w w:val="104"/>
        </w:rPr>
        <w:t xml:space="preserve"> had to </w:t>
      </w:r>
      <w:r w:rsidR="00BB5474">
        <w:rPr>
          <w:w w:val="104"/>
        </w:rPr>
        <w:t xml:space="preserve">be covered </w:t>
      </w:r>
      <w:r>
        <w:rPr>
          <w:w w:val="104"/>
        </w:rPr>
        <w:t>by beneficiaries out</w:t>
      </w:r>
      <w:r w:rsidR="00BB5474">
        <w:rPr>
          <w:w w:val="104"/>
        </w:rPr>
        <w:t xml:space="preserve"> </w:t>
      </w:r>
      <w:r>
        <w:rPr>
          <w:w w:val="104"/>
        </w:rPr>
        <w:t>of</w:t>
      </w:r>
      <w:r w:rsidR="00BB5474">
        <w:rPr>
          <w:w w:val="104"/>
        </w:rPr>
        <w:t xml:space="preserve"> </w:t>
      </w:r>
      <w:r>
        <w:rPr>
          <w:w w:val="104"/>
        </w:rPr>
        <w:t>pocket.</w:t>
      </w:r>
      <w:r w:rsidR="00707AA8">
        <w:rPr>
          <w:w w:val="104"/>
        </w:rPr>
        <w:t xml:space="preserve"> </w:t>
      </w:r>
      <w:r>
        <w:rPr>
          <w:w w:val="104"/>
        </w:rPr>
        <w:t xml:space="preserve">Throughout the </w:t>
      </w:r>
      <w:r>
        <w:rPr>
          <w:spacing w:val="-2"/>
        </w:rPr>
        <w:t>investigation the claimed amount was</w:t>
      </w:r>
      <w:r w:rsidR="00DE5092">
        <w:rPr>
          <w:spacing w:val="-2"/>
        </w:rPr>
        <w:t xml:space="preserve"> used in calculating the end-</w:t>
      </w:r>
      <w:r w:rsidR="00707AA8">
        <w:rPr>
          <w:spacing w:val="-2"/>
        </w:rPr>
        <w:t>of-</w:t>
      </w:r>
      <w:r>
        <w:rPr>
          <w:spacing w:val="-2"/>
        </w:rPr>
        <w:t>l</w:t>
      </w:r>
      <w:r w:rsidR="00707AA8">
        <w:rPr>
          <w:spacing w:val="-2"/>
        </w:rPr>
        <w:t xml:space="preserve">ife costs. </w:t>
      </w:r>
      <w:r>
        <w:rPr>
          <w:spacing w:val="-2"/>
        </w:rPr>
        <w:t xml:space="preserve">The reason for this is that it gives a better sense of the costs actually experienced </w:t>
      </w:r>
      <w:r w:rsidR="00707AA8">
        <w:rPr>
          <w:spacing w:val="-3"/>
        </w:rPr>
        <w:t xml:space="preserve">by </w:t>
      </w:r>
      <w:r>
        <w:rPr>
          <w:spacing w:val="-3"/>
        </w:rPr>
        <w:t xml:space="preserve">beneficiaries; however, the cost to the medical scheme is less. </w:t>
      </w:r>
    </w:p>
    <w:p w:rsidR="00DE67A3" w:rsidRPr="007961AE" w:rsidRDefault="00DE5092" w:rsidP="00AD0700">
      <w:pPr>
        <w:jc w:val="both"/>
        <w:rPr>
          <w:szCs w:val="24"/>
          <w:lang w:eastAsia="en-US"/>
        </w:rPr>
      </w:pPr>
      <w:r>
        <w:rPr>
          <w:spacing w:val="-3"/>
        </w:rPr>
        <w:t>Second, all the claims data are</w:t>
      </w:r>
      <w:r w:rsidR="00AB1B88">
        <w:rPr>
          <w:spacing w:val="-3"/>
        </w:rPr>
        <w:t xml:space="preserve"> adjusted for inflation in order to obtain results </w:t>
      </w:r>
      <w:r w:rsidR="00BB5474">
        <w:rPr>
          <w:spacing w:val="-3"/>
        </w:rPr>
        <w:t>in real terms</w:t>
      </w:r>
      <w:r>
        <w:rPr>
          <w:spacing w:val="-2"/>
        </w:rPr>
        <w:t>. All claims data are</w:t>
      </w:r>
      <w:r w:rsidR="00AB1B88">
        <w:rPr>
          <w:spacing w:val="-2"/>
        </w:rPr>
        <w:t xml:space="preserve"> adjusted to first of January 2011 </w:t>
      </w:r>
      <w:r w:rsidR="00AB1B88">
        <w:t xml:space="preserve">prices. </w:t>
      </w:r>
      <w:r w:rsidR="00DE67A3" w:rsidRPr="007961AE">
        <w:rPr>
          <w:szCs w:val="24"/>
          <w:lang w:eastAsia="en-US"/>
        </w:rPr>
        <w:t>Th</w:t>
      </w:r>
      <w:r>
        <w:rPr>
          <w:szCs w:val="24"/>
          <w:lang w:eastAsia="en-US"/>
        </w:rPr>
        <w:t xml:space="preserve">e challenge presented was which </w:t>
      </w:r>
      <w:r w:rsidR="00DE67A3" w:rsidRPr="007961AE">
        <w:rPr>
          <w:szCs w:val="24"/>
          <w:lang w:eastAsia="en-US"/>
        </w:rPr>
        <w:t xml:space="preserve">inflation factor to consider. In the USA, </w:t>
      </w:r>
      <w:r w:rsidR="009040E7">
        <w:rPr>
          <w:szCs w:val="24"/>
          <w:lang w:eastAsia="en-US"/>
        </w:rPr>
        <w:fldChar w:fldCharType="begin"/>
      </w:r>
      <w:r w:rsidR="00DE67A3">
        <w:rPr>
          <w:szCs w:val="24"/>
          <w:lang w:eastAsia="en-US"/>
        </w:rPr>
        <w:instrText xml:space="preserve"> ADDIN EN.CITE &lt;EndNote&gt;&lt;Cite AuthorYear="1"&gt;&lt;Author&gt;Scitovsky&lt;/Author&gt;&lt;Year&gt;1994&lt;/Year&gt;&lt;RecNum&gt;3&lt;/RecNum&gt;&lt;DisplayText&gt;Scitovsky (1994)&lt;/DisplayText&gt;&lt;record&gt;&lt;rec-number&gt;3&lt;/rec-number&gt;&lt;foreign-keys&gt;&lt;key app="EN" db-id="x2dxrtfwlt0dd3erpz9va5vq5p5xret9aw5d"&gt;3&lt;/key&gt;&lt;/foreign-keys&gt;&lt;ref-type name="Journal Article"&gt;17&lt;/ref-type&gt;&lt;contributors&gt;&lt;authors&gt;&lt;author&gt;Scitovsky, A.A.&lt;/author&gt;&lt;/authors&gt;&lt;/contributors&gt;&lt;titles&gt;&lt;title&gt;“The High Cost of Dying” Revisited&lt;/title&gt;&lt;secondary-title&gt;The Millbank Quarterly &lt;/secondary-title&gt;&lt;/titles&gt;&lt;periodical&gt;&lt;full-title&gt;The Millbank Quarterly&lt;/full-title&gt;&lt;/periodical&gt;&lt;pages&gt;561-591&lt;/pages&gt;&lt;volume&gt;72&lt;/volume&gt;&lt;number&gt;4&lt;/number&gt;&lt;dates&gt;&lt;year&gt;1994&lt;/year&gt;&lt;/dates&gt;&lt;urls&gt;&lt;/urls&gt;&lt;/record&gt;&lt;/Cite&gt;&lt;/EndNote&gt;</w:instrText>
      </w:r>
      <w:r w:rsidR="009040E7">
        <w:rPr>
          <w:szCs w:val="24"/>
          <w:lang w:eastAsia="en-US"/>
        </w:rPr>
        <w:fldChar w:fldCharType="separate"/>
      </w:r>
      <w:hyperlink w:anchor="_ENREF_18" w:tooltip="Scitovsky, 1994 #3" w:history="1">
        <w:r w:rsidR="00423904">
          <w:rPr>
            <w:noProof/>
            <w:szCs w:val="24"/>
            <w:lang w:eastAsia="en-US"/>
          </w:rPr>
          <w:t>Scitovsky (1994</w:t>
        </w:r>
      </w:hyperlink>
      <w:r w:rsidR="00DE67A3">
        <w:rPr>
          <w:noProof/>
          <w:szCs w:val="24"/>
          <w:lang w:eastAsia="en-US"/>
        </w:rPr>
        <w:t>)</w:t>
      </w:r>
      <w:r w:rsidR="009040E7">
        <w:rPr>
          <w:szCs w:val="24"/>
          <w:lang w:eastAsia="en-US"/>
        </w:rPr>
        <w:fldChar w:fldCharType="end"/>
      </w:r>
      <w:r w:rsidR="00DE67A3">
        <w:rPr>
          <w:szCs w:val="24"/>
          <w:lang w:eastAsia="en-US"/>
        </w:rPr>
        <w:t xml:space="preserve"> </w:t>
      </w:r>
      <w:r>
        <w:rPr>
          <w:szCs w:val="24"/>
          <w:lang w:eastAsia="en-US"/>
        </w:rPr>
        <w:t xml:space="preserve">made use of the CPI to inflate </w:t>
      </w:r>
      <w:r w:rsidR="00DE67A3" w:rsidRPr="007961AE">
        <w:rPr>
          <w:szCs w:val="24"/>
          <w:lang w:eastAsia="en-US"/>
        </w:rPr>
        <w:t>medical costs, which was appropriate as national</w:t>
      </w:r>
      <w:r>
        <w:rPr>
          <w:szCs w:val="24"/>
          <w:lang w:eastAsia="en-US"/>
        </w:rPr>
        <w:t xml:space="preserve"> data were</w:t>
      </w:r>
      <w:r w:rsidR="00DE67A3" w:rsidRPr="007961AE">
        <w:rPr>
          <w:szCs w:val="24"/>
          <w:lang w:eastAsia="en-US"/>
        </w:rPr>
        <w:t xml:space="preserve"> be</w:t>
      </w:r>
      <w:r>
        <w:rPr>
          <w:szCs w:val="24"/>
          <w:lang w:eastAsia="en-US"/>
        </w:rPr>
        <w:t xml:space="preserve">ing analysed. A possible option </w:t>
      </w:r>
      <w:r w:rsidR="00DE67A3" w:rsidRPr="007961AE">
        <w:rPr>
          <w:szCs w:val="24"/>
          <w:lang w:eastAsia="en-US"/>
        </w:rPr>
        <w:t>for the inflation factor was that of the medical component o</w:t>
      </w:r>
      <w:r>
        <w:rPr>
          <w:szCs w:val="24"/>
          <w:lang w:eastAsia="en-US"/>
        </w:rPr>
        <w:t xml:space="preserve">f the CPI. However it was noted </w:t>
      </w:r>
      <w:r w:rsidR="00DE67A3" w:rsidRPr="007961AE">
        <w:rPr>
          <w:szCs w:val="24"/>
          <w:lang w:eastAsia="en-US"/>
        </w:rPr>
        <w:t>that the basket of medical goods that this index is based upon</w:t>
      </w:r>
      <w:r>
        <w:rPr>
          <w:szCs w:val="24"/>
          <w:lang w:eastAsia="en-US"/>
        </w:rPr>
        <w:t xml:space="preserve"> is considerably different from </w:t>
      </w:r>
      <w:r w:rsidR="00DE67A3" w:rsidRPr="007961AE">
        <w:rPr>
          <w:szCs w:val="24"/>
          <w:lang w:eastAsia="en-US"/>
        </w:rPr>
        <w:t xml:space="preserve">the basket of medical goods for the average South African </w:t>
      </w:r>
      <w:r w:rsidR="00DE67A3">
        <w:rPr>
          <w:szCs w:val="24"/>
          <w:lang w:eastAsia="en-US"/>
        </w:rPr>
        <w:t xml:space="preserve">beneficiary </w:t>
      </w:r>
      <w:r w:rsidR="00DE67A3" w:rsidRPr="007961AE">
        <w:rPr>
          <w:szCs w:val="24"/>
          <w:lang w:eastAsia="en-US"/>
        </w:rPr>
        <w:t xml:space="preserve">covered by </w:t>
      </w:r>
      <w:r>
        <w:rPr>
          <w:szCs w:val="24"/>
          <w:lang w:eastAsia="en-US"/>
        </w:rPr>
        <w:t xml:space="preserve">a medical </w:t>
      </w:r>
      <w:r w:rsidR="00DE67A3">
        <w:rPr>
          <w:szCs w:val="24"/>
          <w:lang w:eastAsia="en-US"/>
        </w:rPr>
        <w:t xml:space="preserve">scheme </w:t>
      </w:r>
      <w:r w:rsidR="009040E7">
        <w:rPr>
          <w:szCs w:val="24"/>
          <w:lang w:eastAsia="en-US"/>
        </w:rPr>
        <w:fldChar w:fldCharType="begin"/>
      </w:r>
      <w:r w:rsidR="00DE67A3">
        <w:rPr>
          <w:szCs w:val="24"/>
          <w:lang w:eastAsia="en-US"/>
        </w:rPr>
        <w:instrText xml:space="preserve"> ADDIN EN.CITE &lt;EndNote&gt;&lt;Cite&gt;&lt;Author&gt;Moodley&lt;/Author&gt;&lt;Year&gt;2001&lt;/Year&gt;&lt;RecNum&gt;4&lt;/RecNum&gt;&lt;DisplayText&gt;(Moodley &amp;amp; McLeod, 2001)&lt;/DisplayText&gt;&lt;record&gt;&lt;rec-number&gt;4&lt;/rec-number&gt;&lt;foreign-keys&gt;&lt;key app="EN" db-id="x2dxrtfwlt0dd3erpz9va5vq5p5xret9aw5d"&gt;4&lt;/key&gt;&lt;/foreign-keys&gt;&lt;ref-type name="Report"&gt;27&lt;/ref-type&gt;&lt;contributors&gt;&lt;authors&gt;&lt;author&gt;Moodley, P.&lt;/author&gt;&lt;author&gt;McLeod, H.&lt;/author&gt;&lt;/authors&gt;&lt;/contributors&gt;&lt;titles&gt;&lt;title&gt;An Investigation into Healthcare Costs in the Last-Year-of-Life&lt;/title&gt;&lt;secondary-title&gt;CARe Research Monographs&lt;/secondary-title&gt;&lt;/titles&gt;&lt;dates&gt;&lt;year&gt;2001&lt;/year&gt;&lt;/dates&gt;&lt;pub-location&gt;Cape Town&lt;/pub-location&gt;&lt;publisher&gt;Centre for Actuarial Research&lt;/publisher&gt;&lt;urls&gt;&lt;/urls&gt;&lt;/record&gt;&lt;/Cite&gt;&lt;/EndNote&gt;</w:instrText>
      </w:r>
      <w:r w:rsidR="009040E7">
        <w:rPr>
          <w:szCs w:val="24"/>
          <w:lang w:eastAsia="en-US"/>
        </w:rPr>
        <w:fldChar w:fldCharType="separate"/>
      </w:r>
      <w:r w:rsidR="00DE67A3">
        <w:rPr>
          <w:noProof/>
          <w:szCs w:val="24"/>
          <w:lang w:eastAsia="en-US"/>
        </w:rPr>
        <w:t>(</w:t>
      </w:r>
      <w:hyperlink w:anchor="_ENREF_16" w:tooltip="Moodley, 2001 #4" w:history="1">
        <w:r w:rsidR="00423904">
          <w:rPr>
            <w:noProof/>
            <w:szCs w:val="24"/>
            <w:lang w:eastAsia="en-US"/>
          </w:rPr>
          <w:t>Moodley &amp; McLeod, 2001</w:t>
        </w:r>
      </w:hyperlink>
      <w:r w:rsidR="00DE67A3">
        <w:rPr>
          <w:noProof/>
          <w:szCs w:val="24"/>
          <w:lang w:eastAsia="en-US"/>
        </w:rPr>
        <w:t>)</w:t>
      </w:r>
      <w:r w:rsidR="009040E7">
        <w:rPr>
          <w:szCs w:val="24"/>
          <w:lang w:eastAsia="en-US"/>
        </w:rPr>
        <w:fldChar w:fldCharType="end"/>
      </w:r>
      <w:r w:rsidR="00DE67A3" w:rsidRPr="007961AE">
        <w:rPr>
          <w:szCs w:val="24"/>
          <w:lang w:eastAsia="en-US"/>
        </w:rPr>
        <w:t xml:space="preserve">. </w:t>
      </w:r>
      <w:r w:rsidR="00DE67A3">
        <w:rPr>
          <w:szCs w:val="24"/>
          <w:lang w:eastAsia="en-US"/>
        </w:rPr>
        <w:t>Inflation factors used</w:t>
      </w:r>
      <w:r>
        <w:rPr>
          <w:szCs w:val="24"/>
          <w:lang w:eastAsia="en-US"/>
        </w:rPr>
        <w:t xml:space="preserve"> in the calculation of the Risk </w:t>
      </w:r>
      <w:r w:rsidR="00DE67A3">
        <w:rPr>
          <w:szCs w:val="24"/>
          <w:lang w:eastAsia="en-US"/>
        </w:rPr>
        <w:t>Equalisation Fund were used as a proxy for medical scheme inflation</w:t>
      </w:r>
      <w:r w:rsidR="0091473B">
        <w:rPr>
          <w:szCs w:val="24"/>
          <w:lang w:eastAsia="en-US"/>
        </w:rPr>
        <w:t xml:space="preserve"> </w:t>
      </w:r>
      <w:r w:rsidR="009040E7">
        <w:rPr>
          <w:szCs w:val="24"/>
          <w:lang w:eastAsia="en-US"/>
        </w:rPr>
        <w:fldChar w:fldCharType="begin"/>
      </w:r>
      <w:r w:rsidR="0091473B">
        <w:rPr>
          <w:szCs w:val="24"/>
          <w:lang w:eastAsia="en-US"/>
        </w:rPr>
        <w:instrText xml:space="preserve"> ADDIN EN.CITE &lt;EndNote&gt;&lt;Cite&gt;&lt;Author&gt;Council for Medical Scheme&lt;/Author&gt;&lt;Year&gt;2010&lt;/Year&gt;&lt;RecNum&gt;35&lt;/RecNum&gt;&lt;DisplayText&gt;(Council for Medical Scheme, 2010)&lt;/DisplayText&gt;&lt;record&gt;&lt;rec-number&gt;35&lt;/rec-number&gt;&lt;foreign-keys&gt;&lt;key app="EN" db-id="x2dxrtfwlt0dd3erpz9va5vq5p5xret9aw5d"&gt;35&lt;/key&gt;&lt;/foreign-keys&gt;&lt;ref-type name="Report"&gt;27&lt;/ref-type&gt;&lt;contributors&gt;&lt;authors&gt;&lt;author&gt;Council for Medical Scheme,&lt;/author&gt;&lt;/authors&gt;&lt;/contributors&gt;&lt;titles&gt;&lt;title&gt;Methodology to determine the REF weighting table and REF count table for 2010&lt;/title&gt;&lt;/titles&gt;&lt;dates&gt;&lt;year&gt;2010&lt;/year&gt;&lt;/dates&gt;&lt;pub-location&gt;Pretoria&lt;/pub-location&gt;&lt;urls&gt;&lt;/urls&gt;&lt;/record&gt;&lt;/Cite&gt;&lt;/EndNote&gt;</w:instrText>
      </w:r>
      <w:r w:rsidR="009040E7">
        <w:rPr>
          <w:szCs w:val="24"/>
          <w:lang w:eastAsia="en-US"/>
        </w:rPr>
        <w:fldChar w:fldCharType="separate"/>
      </w:r>
      <w:r w:rsidR="0091473B">
        <w:rPr>
          <w:noProof/>
          <w:szCs w:val="24"/>
          <w:lang w:eastAsia="en-US"/>
        </w:rPr>
        <w:t>(</w:t>
      </w:r>
      <w:hyperlink w:anchor="_ENREF_4" w:tooltip="Council for Medical Scheme, 2010 #35" w:history="1">
        <w:r w:rsidR="00423904">
          <w:rPr>
            <w:noProof/>
            <w:szCs w:val="24"/>
            <w:lang w:eastAsia="en-US"/>
          </w:rPr>
          <w:t>Council for Medical Scheme, 2010</w:t>
        </w:r>
      </w:hyperlink>
      <w:r w:rsidR="0091473B">
        <w:rPr>
          <w:noProof/>
          <w:szCs w:val="24"/>
          <w:lang w:eastAsia="en-US"/>
        </w:rPr>
        <w:t>)</w:t>
      </w:r>
      <w:r w:rsidR="009040E7">
        <w:rPr>
          <w:szCs w:val="24"/>
          <w:lang w:eastAsia="en-US"/>
        </w:rPr>
        <w:fldChar w:fldCharType="end"/>
      </w:r>
      <w:r w:rsidR="00DE67A3">
        <w:rPr>
          <w:szCs w:val="24"/>
          <w:lang w:eastAsia="en-US"/>
        </w:rPr>
        <w:t>.</w:t>
      </w:r>
      <w:r w:rsidR="0091473B">
        <w:rPr>
          <w:szCs w:val="24"/>
          <w:lang w:eastAsia="en-US"/>
        </w:rPr>
        <w:t xml:space="preserve"> </w:t>
      </w:r>
      <w:r w:rsidR="0091473B" w:rsidRPr="007961AE">
        <w:rPr>
          <w:szCs w:val="24"/>
          <w:lang w:eastAsia="en-US"/>
        </w:rPr>
        <w:t>Data for 2011 were not available, so by analys</w:t>
      </w:r>
      <w:r>
        <w:rPr>
          <w:szCs w:val="24"/>
          <w:lang w:eastAsia="en-US"/>
        </w:rPr>
        <w:t xml:space="preserve">ing the percentage that each of </w:t>
      </w:r>
      <w:r w:rsidR="0091473B" w:rsidRPr="007961AE">
        <w:rPr>
          <w:szCs w:val="24"/>
          <w:lang w:eastAsia="en-US"/>
        </w:rPr>
        <w:t>the 2007 to 2010 calendar year’s price inflation factors were a</w:t>
      </w:r>
      <w:r>
        <w:rPr>
          <w:szCs w:val="24"/>
          <w:lang w:eastAsia="en-US"/>
        </w:rPr>
        <w:t xml:space="preserve">bove the </w:t>
      </w:r>
      <w:proofErr w:type="gramStart"/>
      <w:r>
        <w:rPr>
          <w:szCs w:val="24"/>
          <w:lang w:eastAsia="en-US"/>
        </w:rPr>
        <w:t>CPI,</w:t>
      </w:r>
      <w:proofErr w:type="gramEnd"/>
      <w:r>
        <w:rPr>
          <w:szCs w:val="24"/>
          <w:lang w:eastAsia="en-US"/>
        </w:rPr>
        <w:t xml:space="preserve"> a figure for 2011 </w:t>
      </w:r>
      <w:r w:rsidR="0091473B" w:rsidRPr="007961AE">
        <w:rPr>
          <w:szCs w:val="24"/>
          <w:lang w:eastAsia="en-US"/>
        </w:rPr>
        <w:t>was calculated.</w:t>
      </w:r>
    </w:p>
    <w:p w:rsidR="00B909C6" w:rsidRPr="00F26530" w:rsidRDefault="00B909C6" w:rsidP="00150FA7">
      <w:pPr>
        <w:pStyle w:val="ListParagraph"/>
        <w:numPr>
          <w:ilvl w:val="0"/>
          <w:numId w:val="25"/>
        </w:numPr>
        <w:rPr>
          <w:caps/>
        </w:rPr>
      </w:pPr>
      <w:bookmarkStart w:id="4" w:name="_Ref334263904"/>
      <w:r w:rsidRPr="00F26530">
        <w:rPr>
          <w:caps/>
        </w:rPr>
        <w:t>Methodology</w:t>
      </w:r>
      <w:bookmarkEnd w:id="4"/>
    </w:p>
    <w:p w:rsidR="00370DC8" w:rsidRPr="00F80DF8" w:rsidRDefault="00370DC8" w:rsidP="00AD0700">
      <w:pPr>
        <w:jc w:val="both"/>
        <w:rPr>
          <w:spacing w:val="-3"/>
        </w:rPr>
      </w:pPr>
      <w:r w:rsidRPr="00F80DF8">
        <w:rPr>
          <w:w w:val="105"/>
        </w:rPr>
        <w:t xml:space="preserve">The two different aspects of costs in the last year of life, namely the costs in the last year of life in comparison to earlier years prior to death and the comparison of decedent and </w:t>
      </w:r>
      <w:r w:rsidRPr="00F80DF8">
        <w:rPr>
          <w:w w:val="105"/>
        </w:rPr>
        <w:lastRenderedPageBreak/>
        <w:t xml:space="preserve">survivor costs, are investigated using two different methods. </w:t>
      </w:r>
      <w:r w:rsidR="003764F4">
        <w:rPr>
          <w:w w:val="105"/>
        </w:rPr>
        <w:t>By necessity, the two methods utilise</w:t>
      </w:r>
      <w:r w:rsidR="00D406ED">
        <w:rPr>
          <w:w w:val="105"/>
        </w:rPr>
        <w:t xml:space="preserve"> different definitions </w:t>
      </w:r>
      <w:r w:rsidR="003764F4">
        <w:rPr>
          <w:w w:val="105"/>
        </w:rPr>
        <w:t>of</w:t>
      </w:r>
      <w:r w:rsidR="00D406ED">
        <w:rPr>
          <w:w w:val="105"/>
        </w:rPr>
        <w:t xml:space="preserve"> age and different methodologies for classifying costs. </w:t>
      </w:r>
      <w:r w:rsidRPr="00F80DF8">
        <w:rPr>
          <w:w w:val="105"/>
        </w:rPr>
        <w:t>In order to analyse the first aspect, the average healthcare costs in the final years of life within the study period are required</w:t>
      </w:r>
      <w:r w:rsidR="003764F4">
        <w:rPr>
          <w:w w:val="105"/>
        </w:rPr>
        <w:t xml:space="preserve"> and age is defined as the age at death</w:t>
      </w:r>
      <w:r w:rsidRPr="00F80DF8">
        <w:rPr>
          <w:w w:val="105"/>
        </w:rPr>
        <w:t>. Consequently, only beneficiaries dying during the four year study period were considered in this part of the investigation.</w:t>
      </w:r>
      <w:r w:rsidR="0060100E">
        <w:rPr>
          <w:w w:val="105"/>
        </w:rPr>
        <w:t xml:space="preserve"> </w:t>
      </w:r>
      <w:r w:rsidRPr="00F80DF8">
        <w:rPr>
          <w:w w:val="105"/>
        </w:rPr>
        <w:t>The second aspect required the calculation of survivor and decedent costs per calendar year in order to examine the relationships between them.</w:t>
      </w:r>
      <w:r w:rsidR="003764F4">
        <w:rPr>
          <w:w w:val="105"/>
        </w:rPr>
        <w:t xml:space="preserve"> In this analysis age as at 1 January is used to enable comparison between survivors and decedents.</w:t>
      </w:r>
    </w:p>
    <w:p w:rsidR="0091473B" w:rsidRPr="00F26530" w:rsidRDefault="00625779" w:rsidP="00150FA7">
      <w:pPr>
        <w:rPr>
          <w:caps/>
        </w:rPr>
      </w:pPr>
      <w:r>
        <w:rPr>
          <w:caps/>
        </w:rPr>
        <w:t>5</w:t>
      </w:r>
      <w:r w:rsidR="0091473B" w:rsidRPr="00F26530">
        <w:rPr>
          <w:caps/>
        </w:rPr>
        <w:t xml:space="preserve">.1 </w:t>
      </w:r>
      <w:r w:rsidR="0091473B" w:rsidRPr="00F26530">
        <w:rPr>
          <w:caps/>
        </w:rPr>
        <w:tab/>
        <w:t xml:space="preserve">Healthcare Costs in the Last Years of Life </w:t>
      </w:r>
    </w:p>
    <w:p w:rsidR="0091473B" w:rsidRDefault="0091473B" w:rsidP="00AD0700">
      <w:pPr>
        <w:jc w:val="both"/>
        <w:rPr>
          <w:spacing w:val="-1"/>
        </w:rPr>
      </w:pPr>
      <w:r w:rsidRPr="0091473B">
        <w:rPr>
          <w:w w:val="103"/>
        </w:rPr>
        <w:t xml:space="preserve">This method began with the determination of the exposure period, in months, </w:t>
      </w:r>
      <w:r w:rsidR="00370DC8">
        <w:rPr>
          <w:spacing w:val="-2"/>
        </w:rPr>
        <w:t xml:space="preserve">before death </w:t>
      </w:r>
      <w:r w:rsidRPr="0091473B">
        <w:rPr>
          <w:spacing w:val="-2"/>
        </w:rPr>
        <w:t xml:space="preserve">during which each beneficiary held medical scheme cover. The first </w:t>
      </w:r>
      <w:r w:rsidR="00370DC8">
        <w:t>step in the determination of the exposure period wa</w:t>
      </w:r>
      <w:r w:rsidRPr="0091473B">
        <w:t>s to ascertain the latest date on whic</w:t>
      </w:r>
      <w:r w:rsidR="00370DC8">
        <w:t xml:space="preserve">h each beneficiary discontinued </w:t>
      </w:r>
      <w:r w:rsidRPr="0091473B">
        <w:t>their medical scheme</w:t>
      </w:r>
      <w:r w:rsidR="00370DC8">
        <w:t xml:space="preserve"> cover. This required</w:t>
      </w:r>
      <w:r w:rsidRPr="0091473B">
        <w:t xml:space="preserve"> </w:t>
      </w:r>
      <w:r w:rsidRPr="0091473B">
        <w:rPr>
          <w:w w:val="109"/>
        </w:rPr>
        <w:t>the inspection o</w:t>
      </w:r>
      <w:r w:rsidR="00370DC8">
        <w:rPr>
          <w:w w:val="109"/>
        </w:rPr>
        <w:t xml:space="preserve">f the beneficiary deceased date </w:t>
      </w:r>
      <w:r w:rsidRPr="0091473B">
        <w:rPr>
          <w:w w:val="109"/>
        </w:rPr>
        <w:t xml:space="preserve">and the date on which the </w:t>
      </w:r>
      <w:r w:rsidRPr="0091473B">
        <w:rPr>
          <w:spacing w:val="-3"/>
        </w:rPr>
        <w:t>beneficiary left the medical scheme (left date).</w:t>
      </w:r>
      <w:r w:rsidR="00211B15">
        <w:rPr>
          <w:spacing w:val="-3"/>
        </w:rPr>
        <w:t xml:space="preserve"> </w:t>
      </w:r>
      <w:r w:rsidR="00370DC8">
        <w:rPr>
          <w:spacing w:val="-3"/>
        </w:rPr>
        <w:t xml:space="preserve">If the left date </w:t>
      </w:r>
      <w:r w:rsidRPr="0091473B">
        <w:rPr>
          <w:spacing w:val="-3"/>
        </w:rPr>
        <w:t xml:space="preserve">proved to fall on an </w:t>
      </w:r>
      <w:r w:rsidRPr="0091473B">
        <w:rPr>
          <w:spacing w:val="-2"/>
        </w:rPr>
        <w:t>earlier date than the dec</w:t>
      </w:r>
      <w:r w:rsidR="00370DC8">
        <w:rPr>
          <w:spacing w:val="-2"/>
        </w:rPr>
        <w:t>eased date then the left date was</w:t>
      </w:r>
      <w:r w:rsidRPr="0091473B">
        <w:rPr>
          <w:spacing w:val="-2"/>
        </w:rPr>
        <w:t xml:space="preserve"> taken as the da</w:t>
      </w:r>
      <w:r w:rsidR="00370DC8">
        <w:rPr>
          <w:spacing w:val="-2"/>
        </w:rPr>
        <w:t xml:space="preserve">te on </w:t>
      </w:r>
      <w:r w:rsidRPr="0091473B">
        <w:rPr>
          <w:spacing w:val="-2"/>
        </w:rPr>
        <w:t xml:space="preserve">which </w:t>
      </w:r>
      <w:r w:rsidRPr="0091473B">
        <w:rPr>
          <w:w w:val="109"/>
        </w:rPr>
        <w:t>exposure ceased, otherwise, the deceased dat</w:t>
      </w:r>
      <w:r w:rsidR="00370DC8">
        <w:rPr>
          <w:w w:val="109"/>
        </w:rPr>
        <w:t xml:space="preserve">e was used. The next step was to </w:t>
      </w:r>
      <w:r w:rsidRPr="0091473B">
        <w:rPr>
          <w:spacing w:val="-2"/>
        </w:rPr>
        <w:t xml:space="preserve">determine the date on which exposure began. As mention in Section 3 above, the </w:t>
      </w:r>
      <w:r w:rsidR="00370DC8">
        <w:rPr>
          <w:w w:val="102"/>
        </w:rPr>
        <w:t xml:space="preserve">study period </w:t>
      </w:r>
      <w:r w:rsidRPr="0091473B">
        <w:rPr>
          <w:w w:val="102"/>
        </w:rPr>
        <w:t xml:space="preserve">of this research extends from the beginning of 2008 to the end of </w:t>
      </w:r>
      <w:r w:rsidRPr="0091473B">
        <w:rPr>
          <w:spacing w:val="-1"/>
        </w:rPr>
        <w:t>2011. Ther</w:t>
      </w:r>
      <w:r w:rsidR="00370DC8">
        <w:rPr>
          <w:spacing w:val="-1"/>
        </w:rPr>
        <w:t xml:space="preserve">efore, if the date </w:t>
      </w:r>
      <w:r w:rsidRPr="0091473B">
        <w:rPr>
          <w:spacing w:val="-1"/>
        </w:rPr>
        <w:t xml:space="preserve">on which the beneficiary joined the medical scheme (join date) is </w:t>
      </w:r>
      <w:r w:rsidR="00C858BB">
        <w:rPr>
          <w:spacing w:val="-1"/>
        </w:rPr>
        <w:t>later t</w:t>
      </w:r>
      <w:r w:rsidR="00370DC8">
        <w:rPr>
          <w:spacing w:val="-1"/>
        </w:rPr>
        <w:t>han the first of January 2008 then the join date was</w:t>
      </w:r>
      <w:r w:rsidRPr="0091473B">
        <w:rPr>
          <w:spacing w:val="-1"/>
        </w:rPr>
        <w:t xml:space="preserve"> taken as the start date of the exposure </w:t>
      </w:r>
      <w:r w:rsidR="00370DC8">
        <w:rPr>
          <w:spacing w:val="-1"/>
        </w:rPr>
        <w:t>period. Otherwise, the first of January 2008 was</w:t>
      </w:r>
      <w:r w:rsidRPr="0091473B">
        <w:rPr>
          <w:spacing w:val="-1"/>
        </w:rPr>
        <w:t xml:space="preserve"> used. </w:t>
      </w:r>
    </w:p>
    <w:p w:rsidR="0091473B" w:rsidRPr="0091473B" w:rsidRDefault="0091473B" w:rsidP="00AD0700">
      <w:pPr>
        <w:jc w:val="both"/>
        <w:rPr>
          <w:spacing w:val="-3"/>
        </w:rPr>
      </w:pPr>
      <w:r w:rsidRPr="0091473B">
        <w:rPr>
          <w:spacing w:val="-1"/>
        </w:rPr>
        <w:t xml:space="preserve">It </w:t>
      </w:r>
      <w:r w:rsidRPr="0091473B">
        <w:rPr>
          <w:w w:val="103"/>
        </w:rPr>
        <w:t xml:space="preserve">should be noted that </w:t>
      </w:r>
      <w:r>
        <w:rPr>
          <w:w w:val="103"/>
        </w:rPr>
        <w:t xml:space="preserve">this </w:t>
      </w:r>
      <w:r w:rsidRPr="0091473B">
        <w:rPr>
          <w:w w:val="103"/>
        </w:rPr>
        <w:t xml:space="preserve">method of calculating exposure is </w:t>
      </w:r>
      <w:r w:rsidR="00370DC8">
        <w:rPr>
          <w:spacing w:val="-4"/>
        </w:rPr>
        <w:t xml:space="preserve">subject to possible </w:t>
      </w:r>
      <w:r w:rsidR="00150FA7">
        <w:rPr>
          <w:spacing w:val="-4"/>
        </w:rPr>
        <w:t>o</w:t>
      </w:r>
      <w:r w:rsidRPr="0091473B">
        <w:rPr>
          <w:spacing w:val="-4"/>
        </w:rPr>
        <w:t xml:space="preserve">verestimation of the exposure period. This is because, the date </w:t>
      </w:r>
      <w:r w:rsidRPr="0091473B">
        <w:t>represent</w:t>
      </w:r>
      <w:r w:rsidR="00C858BB">
        <w:t xml:space="preserve">ing </w:t>
      </w:r>
      <w:r w:rsidR="00370DC8">
        <w:t xml:space="preserve">the end of each </w:t>
      </w:r>
      <w:r w:rsidR="00C858BB">
        <w:t>beneficiary’</w:t>
      </w:r>
      <w:r w:rsidR="00370DC8">
        <w:t>s exposure period wa</w:t>
      </w:r>
      <w:r w:rsidRPr="0091473B">
        <w:t>s assumed to be the end</w:t>
      </w:r>
      <w:r w:rsidR="00211B15">
        <w:t xml:space="preserve"> </w:t>
      </w:r>
      <w:r w:rsidRPr="0091473B">
        <w:t>of</w:t>
      </w:r>
      <w:r w:rsidR="00211B15">
        <w:t xml:space="preserve"> </w:t>
      </w:r>
      <w:r w:rsidRPr="0091473B">
        <w:t>the</w:t>
      </w:r>
      <w:r w:rsidR="00211B15">
        <w:t xml:space="preserve"> </w:t>
      </w:r>
      <w:r w:rsidRPr="0091473B">
        <w:t>month</w:t>
      </w:r>
      <w:r w:rsidR="00211B15">
        <w:t xml:space="preserve"> </w:t>
      </w:r>
      <w:r w:rsidRPr="0091473B">
        <w:t>in</w:t>
      </w:r>
      <w:r w:rsidR="00211B15">
        <w:t xml:space="preserve"> </w:t>
      </w:r>
      <w:r w:rsidRPr="0091473B">
        <w:t>which</w:t>
      </w:r>
      <w:r w:rsidR="00211B15">
        <w:t xml:space="preserve"> </w:t>
      </w:r>
      <w:r w:rsidRPr="0091473B">
        <w:t>the</w:t>
      </w:r>
      <w:r w:rsidR="00211B15">
        <w:t xml:space="preserve"> </w:t>
      </w:r>
      <w:r w:rsidRPr="0091473B">
        <w:t>beneficiary</w:t>
      </w:r>
      <w:r w:rsidR="00370DC8">
        <w:t xml:space="preserve"> </w:t>
      </w:r>
      <w:r w:rsidRPr="0091473B">
        <w:t>died</w:t>
      </w:r>
      <w:r w:rsidR="00211B15">
        <w:t xml:space="preserve"> </w:t>
      </w:r>
      <w:r w:rsidRPr="0091473B">
        <w:t>or</w:t>
      </w:r>
      <w:r w:rsidR="00211B15">
        <w:t xml:space="preserve"> </w:t>
      </w:r>
      <w:r w:rsidRPr="0091473B">
        <w:t>left</w:t>
      </w:r>
      <w:r w:rsidR="00211B15">
        <w:t xml:space="preserve"> </w:t>
      </w:r>
      <w:r w:rsidRPr="0091473B">
        <w:t>the</w:t>
      </w:r>
      <w:r w:rsidR="00211B15">
        <w:t xml:space="preserve"> </w:t>
      </w:r>
      <w:r w:rsidRPr="0091473B">
        <w:t>scheme.</w:t>
      </w:r>
      <w:r w:rsidR="00211B15">
        <w:t xml:space="preserve"> </w:t>
      </w:r>
      <w:r w:rsidRPr="0091473B">
        <w:t xml:space="preserve">This </w:t>
      </w:r>
      <w:r w:rsidRPr="0091473B">
        <w:rPr>
          <w:w w:val="102"/>
        </w:rPr>
        <w:t>assumption is realistic, since ben</w:t>
      </w:r>
      <w:r w:rsidR="00370DC8">
        <w:rPr>
          <w:w w:val="102"/>
        </w:rPr>
        <w:t xml:space="preserve">eficiaries have a full month of </w:t>
      </w:r>
      <w:r w:rsidRPr="0091473B">
        <w:rPr>
          <w:w w:val="102"/>
        </w:rPr>
        <w:t>medical cover regardless of when during the month they lea</w:t>
      </w:r>
      <w:r w:rsidR="00370DC8">
        <w:rPr>
          <w:w w:val="102"/>
        </w:rPr>
        <w:t xml:space="preserve">ve the scheme. This is a result </w:t>
      </w:r>
      <w:r w:rsidRPr="0091473B">
        <w:rPr>
          <w:w w:val="102"/>
        </w:rPr>
        <w:t xml:space="preserve">of </w:t>
      </w:r>
      <w:r w:rsidRPr="0091473B">
        <w:rPr>
          <w:spacing w:val="-3"/>
        </w:rPr>
        <w:t xml:space="preserve">beneficiaries paying their premiums at the start of the month. In addition, the join </w:t>
      </w:r>
      <w:r w:rsidR="00370DC8">
        <w:rPr>
          <w:spacing w:val="-2"/>
        </w:rPr>
        <w:t xml:space="preserve">date was </w:t>
      </w:r>
      <w:r w:rsidRPr="0091473B">
        <w:rPr>
          <w:spacing w:val="-2"/>
        </w:rPr>
        <w:t xml:space="preserve">assumed to be the beginning of the month in which the beneficiary joined </w:t>
      </w:r>
      <w:r w:rsidR="00370DC8">
        <w:t xml:space="preserve">the medical scheme. </w:t>
      </w:r>
      <w:r w:rsidRPr="0091473B">
        <w:t xml:space="preserve">The vast majority of join dates fall at the beginning of the </w:t>
      </w:r>
      <w:r w:rsidRPr="0091473B">
        <w:rPr>
          <w:w w:val="105"/>
        </w:rPr>
        <w:t>month.</w:t>
      </w:r>
      <w:r w:rsidR="00211B15">
        <w:rPr>
          <w:w w:val="105"/>
        </w:rPr>
        <w:t xml:space="preserve"> </w:t>
      </w:r>
      <w:r w:rsidRPr="0091473B">
        <w:rPr>
          <w:w w:val="105"/>
        </w:rPr>
        <w:t xml:space="preserve">The </w:t>
      </w:r>
      <w:r w:rsidR="00370DC8">
        <w:rPr>
          <w:w w:val="105"/>
        </w:rPr>
        <w:t xml:space="preserve">assumption merely </w:t>
      </w:r>
      <w:r>
        <w:rPr>
          <w:w w:val="105"/>
        </w:rPr>
        <w:t xml:space="preserve">adjusts the remaining </w:t>
      </w:r>
      <w:r w:rsidRPr="0091473B">
        <w:rPr>
          <w:w w:val="105"/>
        </w:rPr>
        <w:t>few.</w:t>
      </w:r>
      <w:r>
        <w:rPr>
          <w:w w:val="105"/>
        </w:rPr>
        <w:t xml:space="preserve"> These </w:t>
      </w:r>
      <w:r w:rsidRPr="0091473B">
        <w:rPr>
          <w:w w:val="105"/>
        </w:rPr>
        <w:t xml:space="preserve">two assumptions are required </w:t>
      </w:r>
      <w:r>
        <w:rPr>
          <w:w w:val="105"/>
        </w:rPr>
        <w:t>because the claim</w:t>
      </w:r>
      <w:r w:rsidR="00370DC8">
        <w:rPr>
          <w:w w:val="105"/>
        </w:rPr>
        <w:t xml:space="preserve"> </w:t>
      </w:r>
      <w:r w:rsidRPr="0091473B">
        <w:rPr>
          <w:w w:val="105"/>
        </w:rPr>
        <w:t xml:space="preserve">amounts are recorded only by </w:t>
      </w:r>
      <w:r w:rsidRPr="0091473B">
        <w:rPr>
          <w:spacing w:val="-3"/>
        </w:rPr>
        <w:t xml:space="preserve">treatment month, as discussed above. </w:t>
      </w:r>
    </w:p>
    <w:p w:rsidR="0091473B" w:rsidRPr="0091473B" w:rsidRDefault="004A2EE2" w:rsidP="00AD0700">
      <w:pPr>
        <w:jc w:val="both"/>
        <w:rPr>
          <w:spacing w:val="-3"/>
        </w:rPr>
      </w:pPr>
      <w:r>
        <w:rPr>
          <w:spacing w:val="-3"/>
        </w:rPr>
        <w:t>The process continued</w:t>
      </w:r>
      <w:r w:rsidR="0091473B" w:rsidRPr="0091473B">
        <w:rPr>
          <w:spacing w:val="-3"/>
        </w:rPr>
        <w:t xml:space="preserve"> with the division of the exposure period into the respective </w:t>
      </w:r>
      <w:r w:rsidR="00370DC8">
        <w:rPr>
          <w:spacing w:val="-1"/>
        </w:rPr>
        <w:t xml:space="preserve">years prior to </w:t>
      </w:r>
      <w:r w:rsidR="0091473B" w:rsidRPr="0091473B">
        <w:rPr>
          <w:spacing w:val="-1"/>
        </w:rPr>
        <w:t xml:space="preserve">death. Anniversaries prior to death, which fall within the exposure </w:t>
      </w:r>
      <w:r>
        <w:rPr>
          <w:w w:val="104"/>
        </w:rPr>
        <w:t>period, were</w:t>
      </w:r>
      <w:r w:rsidR="00370DC8">
        <w:rPr>
          <w:w w:val="104"/>
        </w:rPr>
        <w:t xml:space="preserve"> determined for </w:t>
      </w:r>
      <w:r w:rsidR="0091473B" w:rsidRPr="0091473B">
        <w:rPr>
          <w:w w:val="104"/>
        </w:rPr>
        <w:t xml:space="preserve">each beneficiary. Consistent with the assumptions </w:t>
      </w:r>
      <w:r w:rsidR="0091473B" w:rsidRPr="0091473B">
        <w:rPr>
          <w:w w:val="102"/>
        </w:rPr>
        <w:t>made ab</w:t>
      </w:r>
      <w:r w:rsidR="00370DC8">
        <w:rPr>
          <w:w w:val="102"/>
        </w:rPr>
        <w:t xml:space="preserve">ove, the anniversaries prior to </w:t>
      </w:r>
      <w:r>
        <w:rPr>
          <w:w w:val="102"/>
        </w:rPr>
        <w:t>death were</w:t>
      </w:r>
      <w:r w:rsidR="0091473B" w:rsidRPr="0091473B">
        <w:rPr>
          <w:w w:val="102"/>
        </w:rPr>
        <w:t xml:space="preserve"> computed from the end of the </w:t>
      </w:r>
      <w:r w:rsidR="0091473B" w:rsidRPr="0091473B">
        <w:rPr>
          <w:spacing w:val="-3"/>
        </w:rPr>
        <w:t>month of death. Usi</w:t>
      </w:r>
      <w:r w:rsidR="00370DC8">
        <w:rPr>
          <w:spacing w:val="-3"/>
        </w:rPr>
        <w:t xml:space="preserve">ng these anniversary dates, the </w:t>
      </w:r>
      <w:r>
        <w:rPr>
          <w:spacing w:val="-3"/>
        </w:rPr>
        <w:t>exposure was</w:t>
      </w:r>
      <w:r w:rsidR="0091473B" w:rsidRPr="0091473B">
        <w:rPr>
          <w:spacing w:val="-3"/>
        </w:rPr>
        <w:t xml:space="preserve"> calculated for each </w:t>
      </w:r>
      <w:r w:rsidR="0091473B" w:rsidRPr="0091473B">
        <w:rPr>
          <w:w w:val="104"/>
        </w:rPr>
        <w:t>year prior to death that fell wit</w:t>
      </w:r>
      <w:r w:rsidR="00370DC8">
        <w:rPr>
          <w:w w:val="104"/>
        </w:rPr>
        <w:t xml:space="preserve">hin the four year study period. </w:t>
      </w:r>
      <w:r w:rsidR="0091473B" w:rsidRPr="0091473B">
        <w:rPr>
          <w:w w:val="104"/>
        </w:rPr>
        <w:t xml:space="preserve">For example, a </w:t>
      </w:r>
      <w:r w:rsidR="0091473B" w:rsidRPr="0091473B">
        <w:rPr>
          <w:w w:val="103"/>
        </w:rPr>
        <w:t xml:space="preserve">beneficiary who joined the scheme half </w:t>
      </w:r>
      <w:r w:rsidR="00370DC8">
        <w:rPr>
          <w:w w:val="103"/>
        </w:rPr>
        <w:t xml:space="preserve">way through March 2010 and left </w:t>
      </w:r>
      <w:r w:rsidR="0091473B" w:rsidRPr="0091473B">
        <w:rPr>
          <w:w w:val="103"/>
        </w:rPr>
        <w:t xml:space="preserve">the </w:t>
      </w:r>
      <w:r w:rsidR="0091473B" w:rsidRPr="0091473B">
        <w:rPr>
          <w:spacing w:val="-4"/>
        </w:rPr>
        <w:t xml:space="preserve">scheme, upon death, half way through September 2011 would </w:t>
      </w:r>
      <w:r>
        <w:rPr>
          <w:spacing w:val="-4"/>
        </w:rPr>
        <w:t xml:space="preserve">have </w:t>
      </w:r>
      <w:r w:rsidR="0091473B" w:rsidRPr="0091473B">
        <w:rPr>
          <w:spacing w:val="-4"/>
        </w:rPr>
        <w:t>contribute</w:t>
      </w:r>
      <w:r>
        <w:rPr>
          <w:spacing w:val="-4"/>
        </w:rPr>
        <w:t>d</w:t>
      </w:r>
      <w:r w:rsidR="0091473B" w:rsidRPr="0091473B">
        <w:rPr>
          <w:spacing w:val="-4"/>
        </w:rPr>
        <w:t xml:space="preserve"> exposure </w:t>
      </w:r>
      <w:r w:rsidR="00370DC8">
        <w:rPr>
          <w:spacing w:val="-1"/>
        </w:rPr>
        <w:t xml:space="preserve">from the </w:t>
      </w:r>
      <w:r w:rsidR="0091473B" w:rsidRPr="0091473B">
        <w:rPr>
          <w:spacing w:val="-1"/>
        </w:rPr>
        <w:t xml:space="preserve">beginning of March 2010 to the end of September 2011. Therefore, the </w:t>
      </w:r>
      <w:r w:rsidR="00370DC8">
        <w:rPr>
          <w:spacing w:val="-3"/>
        </w:rPr>
        <w:t xml:space="preserve">beneficiary would have </w:t>
      </w:r>
      <w:r>
        <w:rPr>
          <w:spacing w:val="-3"/>
        </w:rPr>
        <w:t xml:space="preserve">had </w:t>
      </w:r>
      <w:r w:rsidR="0091473B" w:rsidRPr="0091473B">
        <w:rPr>
          <w:spacing w:val="-3"/>
        </w:rPr>
        <w:t xml:space="preserve">12 months exposure in their last year of life and 7 months </w:t>
      </w:r>
      <w:r w:rsidR="0091473B" w:rsidRPr="0091473B">
        <w:t xml:space="preserve">exposure </w:t>
      </w:r>
      <w:r w:rsidR="00370DC8">
        <w:t xml:space="preserve">in their second year prior to </w:t>
      </w:r>
      <w:r w:rsidR="0091473B">
        <w:t xml:space="preserve">death. </w:t>
      </w:r>
      <w:r w:rsidR="0091473B" w:rsidRPr="0091473B">
        <w:t xml:space="preserve">Aggregate </w:t>
      </w:r>
      <w:r w:rsidR="0091473B">
        <w:t xml:space="preserve">exposure </w:t>
      </w:r>
      <w:r>
        <w:t>was</w:t>
      </w:r>
      <w:r w:rsidR="0091473B" w:rsidRPr="0091473B">
        <w:t xml:space="preserve"> </w:t>
      </w:r>
      <w:r w:rsidR="0091473B" w:rsidRPr="0091473B">
        <w:rPr>
          <w:w w:val="102"/>
        </w:rPr>
        <w:t>calculated by summing all beneficiaries</w:t>
      </w:r>
      <w:r w:rsidR="0091473B">
        <w:rPr>
          <w:w w:val="102"/>
        </w:rPr>
        <w:t xml:space="preserve">’ </w:t>
      </w:r>
      <w:r w:rsidR="00370DC8">
        <w:rPr>
          <w:w w:val="102"/>
        </w:rPr>
        <w:t xml:space="preserve">exposure months </w:t>
      </w:r>
      <w:r w:rsidR="0091473B" w:rsidRPr="0091473B">
        <w:rPr>
          <w:w w:val="102"/>
        </w:rPr>
        <w:t xml:space="preserve">falling within each </w:t>
      </w:r>
      <w:r w:rsidR="0091473B" w:rsidRPr="0091473B">
        <w:rPr>
          <w:spacing w:val="-3"/>
        </w:rPr>
        <w:t xml:space="preserve">respective year prior to death. </w:t>
      </w:r>
    </w:p>
    <w:p w:rsidR="0091473B" w:rsidRPr="0091473B" w:rsidRDefault="0091473B" w:rsidP="00AD0700">
      <w:pPr>
        <w:jc w:val="both"/>
        <w:rPr>
          <w:spacing w:val="-5"/>
        </w:rPr>
      </w:pPr>
      <w:r w:rsidRPr="0091473B">
        <w:rPr>
          <w:w w:val="105"/>
        </w:rPr>
        <w:t xml:space="preserve">Once the exposure in each </w:t>
      </w:r>
      <w:r w:rsidR="004A2EE2">
        <w:rPr>
          <w:w w:val="105"/>
        </w:rPr>
        <w:t>relevant year prior to death had</w:t>
      </w:r>
      <w:r w:rsidRPr="0091473B">
        <w:rPr>
          <w:w w:val="105"/>
        </w:rPr>
        <w:t xml:space="preserve"> been determined, </w:t>
      </w:r>
      <w:r w:rsidRPr="0091473B">
        <w:t>claimed</w:t>
      </w:r>
      <w:r w:rsidR="00370DC8">
        <w:t xml:space="preserve"> </w:t>
      </w:r>
      <w:r w:rsidRPr="0091473B">
        <w:t>amounts</w:t>
      </w:r>
      <w:r w:rsidR="00211B15">
        <w:t xml:space="preserve"> </w:t>
      </w:r>
      <w:r w:rsidR="004A2EE2">
        <w:t>were</w:t>
      </w:r>
      <w:r w:rsidR="00211B15">
        <w:t xml:space="preserve"> </w:t>
      </w:r>
      <w:r w:rsidRPr="0091473B">
        <w:t>allocated</w:t>
      </w:r>
      <w:r w:rsidR="00211B15">
        <w:t xml:space="preserve"> </w:t>
      </w:r>
      <w:r w:rsidRPr="0091473B">
        <w:t>among</w:t>
      </w:r>
      <w:r w:rsidR="00211B15">
        <w:t xml:space="preserve"> </w:t>
      </w:r>
      <w:r w:rsidRPr="0091473B">
        <w:t>the</w:t>
      </w:r>
      <w:r w:rsidR="00211B15">
        <w:t xml:space="preserve"> </w:t>
      </w:r>
      <w:r w:rsidRPr="0091473B">
        <w:t>respective</w:t>
      </w:r>
      <w:r w:rsidR="00211B15">
        <w:t xml:space="preserve"> </w:t>
      </w:r>
      <w:r w:rsidRPr="0091473B">
        <w:t>years</w:t>
      </w:r>
      <w:r w:rsidR="00211B15">
        <w:t xml:space="preserve"> </w:t>
      </w:r>
      <w:r w:rsidRPr="0091473B">
        <w:t>prior</w:t>
      </w:r>
      <w:r w:rsidR="00211B15">
        <w:t xml:space="preserve"> </w:t>
      </w:r>
      <w:r w:rsidRPr="0091473B">
        <w:t>to</w:t>
      </w:r>
      <w:r w:rsidR="00211B15">
        <w:t xml:space="preserve"> </w:t>
      </w:r>
      <w:r w:rsidRPr="0091473B">
        <w:t xml:space="preserve">death. </w:t>
      </w:r>
      <w:r w:rsidR="00370DC8">
        <w:rPr>
          <w:spacing w:val="-4"/>
        </w:rPr>
        <w:t xml:space="preserve">Aggregate healthcare costs in </w:t>
      </w:r>
      <w:r w:rsidRPr="0091473B">
        <w:rPr>
          <w:spacing w:val="-4"/>
        </w:rPr>
        <w:t>each year prior to death</w:t>
      </w:r>
      <w:r w:rsidR="004A2EE2">
        <w:rPr>
          <w:spacing w:val="-4"/>
        </w:rPr>
        <w:t xml:space="preserve"> were</w:t>
      </w:r>
      <w:r w:rsidRPr="0091473B">
        <w:rPr>
          <w:spacing w:val="-4"/>
        </w:rPr>
        <w:t xml:space="preserve"> determined by summing all beneficiaries</w:t>
      </w:r>
      <w:r w:rsidR="008E6A87">
        <w:rPr>
          <w:spacing w:val="-4"/>
        </w:rPr>
        <w:t>’</w:t>
      </w:r>
      <w:r w:rsidR="00370DC8">
        <w:rPr>
          <w:spacing w:val="-4"/>
        </w:rPr>
        <w:t xml:space="preserve"> claims falling within </w:t>
      </w:r>
      <w:r w:rsidR="00370DC8">
        <w:rPr>
          <w:spacing w:val="-4"/>
        </w:rPr>
        <w:lastRenderedPageBreak/>
        <w:t xml:space="preserve">the </w:t>
      </w:r>
      <w:r w:rsidRPr="0091473B">
        <w:rPr>
          <w:spacing w:val="-4"/>
        </w:rPr>
        <w:t xml:space="preserve">respective year prior to death. Finally, </w:t>
      </w:r>
      <w:bookmarkStart w:id="5" w:name="Pg14"/>
      <w:bookmarkEnd w:id="5"/>
      <w:r w:rsidR="004A2EE2">
        <w:rPr>
          <w:spacing w:val="-3"/>
        </w:rPr>
        <w:t>average healthcare costs were</w:t>
      </w:r>
      <w:r w:rsidR="00370DC8">
        <w:rPr>
          <w:spacing w:val="-3"/>
        </w:rPr>
        <w:t xml:space="preserve"> determined by, first, dividing </w:t>
      </w:r>
      <w:r w:rsidRPr="0091473B">
        <w:rPr>
          <w:spacing w:val="-3"/>
        </w:rPr>
        <w:t xml:space="preserve">the aggregate exposure </w:t>
      </w:r>
      <w:r w:rsidRPr="0091473B">
        <w:rPr>
          <w:spacing w:val="-4"/>
        </w:rPr>
        <w:t>figures by 12 to obtain exposure figures in years. Second, t</w:t>
      </w:r>
      <w:r w:rsidR="00370DC8">
        <w:rPr>
          <w:spacing w:val="-4"/>
        </w:rPr>
        <w:t xml:space="preserve">he aggregate </w:t>
      </w:r>
      <w:r w:rsidRPr="0091473B">
        <w:rPr>
          <w:spacing w:val="-4"/>
        </w:rPr>
        <w:t xml:space="preserve">healthcare </w:t>
      </w:r>
      <w:r w:rsidRPr="0091473B">
        <w:rPr>
          <w:spacing w:val="-3"/>
        </w:rPr>
        <w:t xml:space="preserve">costs </w:t>
      </w:r>
      <w:r w:rsidR="004A2EE2">
        <w:rPr>
          <w:spacing w:val="-3"/>
        </w:rPr>
        <w:t>for each year prior to death were</w:t>
      </w:r>
      <w:r w:rsidRPr="0091473B">
        <w:rPr>
          <w:spacing w:val="-3"/>
        </w:rPr>
        <w:t xml:space="preserve"> divided by the</w:t>
      </w:r>
      <w:r w:rsidR="00370DC8">
        <w:rPr>
          <w:spacing w:val="-3"/>
        </w:rPr>
        <w:t xml:space="preserve"> respective aggregate exposure </w:t>
      </w:r>
      <w:r w:rsidRPr="0091473B">
        <w:rPr>
          <w:w w:val="102"/>
        </w:rPr>
        <w:t>in years in order to obta</w:t>
      </w:r>
      <w:r w:rsidR="004A2EE2">
        <w:rPr>
          <w:w w:val="102"/>
        </w:rPr>
        <w:t xml:space="preserve">in average healthcare costs per beneficiary per </w:t>
      </w:r>
      <w:r w:rsidRPr="0091473B">
        <w:rPr>
          <w:w w:val="102"/>
        </w:rPr>
        <w:t xml:space="preserve">year </w:t>
      </w:r>
      <w:r w:rsidR="009040E7">
        <w:rPr>
          <w:spacing w:val="-3"/>
        </w:rPr>
        <w:fldChar w:fldCharType="begin"/>
      </w:r>
      <w:r w:rsidR="008E6A87">
        <w:rPr>
          <w:spacing w:val="-3"/>
        </w:rPr>
        <w:instrText xml:space="preserve"> ADDIN EN.CITE &lt;EndNote&gt;&lt;Cite&gt;&lt;Author&gt;Moodley&lt;/Author&gt;&lt;Year&gt;2001&lt;/Year&gt;&lt;RecNum&gt;4&lt;/RecNum&gt;&lt;DisplayText&gt;(Moodley &amp;amp; McLeod, 2001)&lt;/DisplayText&gt;&lt;record&gt;&lt;rec-number&gt;4&lt;/rec-number&gt;&lt;foreign-keys&gt;&lt;key app="EN" db-id="x2dxrtfwlt0dd3erpz9va5vq5p5xret9aw5d"&gt;4&lt;/key&gt;&lt;/foreign-keys&gt;&lt;ref-type name="Report"&gt;27&lt;/ref-type&gt;&lt;contributors&gt;&lt;authors&gt;&lt;author&gt;Moodley, P.&lt;/author&gt;&lt;author&gt;McLeod, H.&lt;/author&gt;&lt;/authors&gt;&lt;/contributors&gt;&lt;titles&gt;&lt;title&gt;An Investigation into Healthcare Costs in the Last-Year-of-Life&lt;/title&gt;&lt;secondary-title&gt;CARe Research Monographs&lt;/secondary-title&gt;&lt;/titles&gt;&lt;dates&gt;&lt;year&gt;2001&lt;/year&gt;&lt;/dates&gt;&lt;pub-location&gt;Cape Town&lt;/pub-location&gt;&lt;publisher&gt;Centre for Actuarial Research&lt;/publisher&gt;&lt;urls&gt;&lt;/urls&gt;&lt;/record&gt;&lt;/Cite&gt;&lt;/EndNote&gt;</w:instrText>
      </w:r>
      <w:r w:rsidR="009040E7">
        <w:rPr>
          <w:spacing w:val="-3"/>
        </w:rPr>
        <w:fldChar w:fldCharType="separate"/>
      </w:r>
      <w:r w:rsidR="008E6A87">
        <w:rPr>
          <w:noProof/>
          <w:spacing w:val="-3"/>
        </w:rPr>
        <w:t>(</w:t>
      </w:r>
      <w:hyperlink w:anchor="_ENREF_16" w:tooltip="Moodley, 2001 #4" w:history="1">
        <w:r w:rsidR="00423904">
          <w:rPr>
            <w:noProof/>
            <w:spacing w:val="-3"/>
          </w:rPr>
          <w:t>Moodley &amp; McLeod, 2001</w:t>
        </w:r>
      </w:hyperlink>
      <w:r w:rsidR="008E6A87">
        <w:rPr>
          <w:noProof/>
          <w:spacing w:val="-3"/>
        </w:rPr>
        <w:t>)</w:t>
      </w:r>
      <w:r w:rsidR="009040E7">
        <w:rPr>
          <w:spacing w:val="-3"/>
        </w:rPr>
        <w:fldChar w:fldCharType="end"/>
      </w:r>
      <w:r w:rsidR="004A2EE2">
        <w:rPr>
          <w:spacing w:val="-3"/>
        </w:rPr>
        <w:t>. A similar process wa</w:t>
      </w:r>
      <w:r w:rsidRPr="0091473B">
        <w:rPr>
          <w:spacing w:val="-3"/>
        </w:rPr>
        <w:t xml:space="preserve">s followed to determine average </w:t>
      </w:r>
      <w:r w:rsidR="00370DC8">
        <w:rPr>
          <w:spacing w:val="-2"/>
        </w:rPr>
        <w:t xml:space="preserve">healthcare costs according </w:t>
      </w:r>
      <w:r w:rsidRPr="0091473B">
        <w:rPr>
          <w:spacing w:val="-2"/>
        </w:rPr>
        <w:t xml:space="preserve">to age at death, category of expenditure and RUB level. </w:t>
      </w:r>
      <w:r w:rsidRPr="0091473B">
        <w:t>T</w:t>
      </w:r>
      <w:r w:rsidR="00370DC8">
        <w:t xml:space="preserve">he only difference to the above </w:t>
      </w:r>
      <w:r w:rsidR="004A2EE2">
        <w:t>method wa</w:t>
      </w:r>
      <w:r w:rsidRPr="0091473B">
        <w:t xml:space="preserve">s that aggregate healthcare costs and </w:t>
      </w:r>
      <w:r w:rsidR="004A2EE2">
        <w:rPr>
          <w:spacing w:val="-4"/>
        </w:rPr>
        <w:t>exposure were</w:t>
      </w:r>
      <w:r w:rsidRPr="0091473B">
        <w:rPr>
          <w:spacing w:val="-4"/>
        </w:rPr>
        <w:t xml:space="preserve"> c</w:t>
      </w:r>
      <w:r w:rsidR="00370DC8">
        <w:rPr>
          <w:spacing w:val="-4"/>
        </w:rPr>
        <w:t xml:space="preserve">alculated by summing within the </w:t>
      </w:r>
      <w:r w:rsidRPr="0091473B">
        <w:rPr>
          <w:spacing w:val="-4"/>
        </w:rPr>
        <w:t xml:space="preserve">respectively age at death, category of expenditure or RUB level. </w:t>
      </w:r>
      <w:r w:rsidR="00370DC8">
        <w:rPr>
          <w:spacing w:val="-4"/>
        </w:rPr>
        <w:t xml:space="preserve">Finally, the average healthcare </w:t>
      </w:r>
      <w:r w:rsidRPr="0091473B">
        <w:rPr>
          <w:spacing w:val="-4"/>
        </w:rPr>
        <w:t xml:space="preserve">costs for the different </w:t>
      </w:r>
      <w:r w:rsidR="004A2EE2">
        <w:rPr>
          <w:spacing w:val="-5"/>
        </w:rPr>
        <w:t>years prior to death were</w:t>
      </w:r>
      <w:r w:rsidRPr="0091473B">
        <w:rPr>
          <w:spacing w:val="-5"/>
        </w:rPr>
        <w:t xml:space="preserve"> compared by taking the ratios between them. </w:t>
      </w:r>
    </w:p>
    <w:p w:rsidR="0091473B" w:rsidRPr="00F26530" w:rsidRDefault="00625779" w:rsidP="00150FA7">
      <w:pPr>
        <w:rPr>
          <w:caps/>
        </w:rPr>
      </w:pPr>
      <w:r>
        <w:rPr>
          <w:caps/>
        </w:rPr>
        <w:t>5</w:t>
      </w:r>
      <w:r w:rsidR="0091473B" w:rsidRPr="00F26530">
        <w:rPr>
          <w:caps/>
        </w:rPr>
        <w:t xml:space="preserve">.2 </w:t>
      </w:r>
      <w:r w:rsidR="0091473B" w:rsidRPr="00F26530">
        <w:rPr>
          <w:caps/>
        </w:rPr>
        <w:tab/>
        <w:t xml:space="preserve">Survivor and Decedent Costs </w:t>
      </w:r>
    </w:p>
    <w:p w:rsidR="0091473B" w:rsidRDefault="00160A6B" w:rsidP="00AD0700">
      <w:pPr>
        <w:jc w:val="both"/>
        <w:rPr>
          <w:spacing w:val="-3"/>
        </w:rPr>
      </w:pPr>
      <w:r>
        <w:rPr>
          <w:spacing w:val="-3"/>
        </w:rPr>
        <w:t>This method considered</w:t>
      </w:r>
      <w:r w:rsidR="0091473B" w:rsidRPr="0091473B">
        <w:rPr>
          <w:spacing w:val="-3"/>
        </w:rPr>
        <w:t xml:space="preserve"> the last year of life for each beneficiary, as calculated </w:t>
      </w:r>
      <w:r w:rsidR="00B00D05">
        <w:t>in s</w:t>
      </w:r>
      <w:r w:rsidR="0091473B" w:rsidRPr="0091473B">
        <w:t xml:space="preserve">ection 4.1. </w:t>
      </w:r>
      <w:r w:rsidR="005C650D">
        <w:t>I</w:t>
      </w:r>
      <w:r w:rsidR="0091473B" w:rsidRPr="0091473B">
        <w:t xml:space="preserve">t </w:t>
      </w:r>
      <w:r w:rsidR="005C650D">
        <w:t xml:space="preserve">therefore </w:t>
      </w:r>
      <w:r w:rsidR="0091473B" w:rsidRPr="0091473B">
        <w:t xml:space="preserve">suffers from a similar possibility of overestimating the true </w:t>
      </w:r>
      <w:r w:rsidR="0091473B" w:rsidRPr="0091473B">
        <w:rPr>
          <w:w w:val="103"/>
        </w:rPr>
        <w:t>exposure period.</w:t>
      </w:r>
      <w:r w:rsidR="00211B15">
        <w:rPr>
          <w:w w:val="103"/>
        </w:rPr>
        <w:t xml:space="preserve"> </w:t>
      </w:r>
      <w:r w:rsidR="0091473B" w:rsidRPr="0091473B">
        <w:rPr>
          <w:w w:val="103"/>
        </w:rPr>
        <w:t xml:space="preserve">The method followed in order to calculate the decedent and </w:t>
      </w:r>
      <w:r w:rsidR="0091473B" w:rsidRPr="0091473B">
        <w:rPr>
          <w:spacing w:val="-2"/>
        </w:rPr>
        <w:t>survivor costs is best described by considering how healthcare cos</w:t>
      </w:r>
      <w:r>
        <w:rPr>
          <w:spacing w:val="-2"/>
        </w:rPr>
        <w:t>ts were</w:t>
      </w:r>
      <w:r w:rsidR="0091473B" w:rsidRPr="0091473B">
        <w:rPr>
          <w:spacing w:val="-2"/>
        </w:rPr>
        <w:t xml:space="preserve"> allocated </w:t>
      </w:r>
      <w:r w:rsidR="0091473B" w:rsidRPr="0091473B">
        <w:rPr>
          <w:spacing w:val="-1"/>
        </w:rPr>
        <w:t>for the various scenarios that arose in the investigation.</w:t>
      </w:r>
      <w:r>
        <w:rPr>
          <w:spacing w:val="-1"/>
        </w:rPr>
        <w:t xml:space="preserve"> </w:t>
      </w:r>
      <w:r w:rsidR="00B00D05" w:rsidRPr="00F80DF8">
        <w:rPr>
          <w:spacing w:val="-1"/>
        </w:rPr>
        <w:t>There were</w:t>
      </w:r>
      <w:r w:rsidRPr="00F80DF8">
        <w:rPr>
          <w:spacing w:val="-1"/>
        </w:rPr>
        <w:t xml:space="preserve"> three possible scenarios: f</w:t>
      </w:r>
      <w:r w:rsidR="00B00D05" w:rsidRPr="00F80DF8">
        <w:rPr>
          <w:spacing w:val="-1"/>
        </w:rPr>
        <w:t>irstly, the beneficiary survived both the calendar year being analysed, as well as the subsequent calendar year; secondly, the beneficiary died during the calendar year under consideration; and finally, the beneficiary died in the calendar year subsequent to the year being analysed.</w:t>
      </w:r>
      <w:r w:rsidR="0091473B" w:rsidRPr="0091473B">
        <w:rPr>
          <w:spacing w:val="-1"/>
        </w:rPr>
        <w:t xml:space="preserve"> If a beneficiary survived </w:t>
      </w:r>
      <w:r w:rsidR="0091473B" w:rsidRPr="0091473B">
        <w:rPr>
          <w:spacing w:val="-2"/>
        </w:rPr>
        <w:t>from the calendar year under consideration to the end of the subsequent calendar</w:t>
      </w:r>
      <w:r>
        <w:rPr>
          <w:spacing w:val="-2"/>
        </w:rPr>
        <w:t xml:space="preserve"> year, then all the beneficiary’</w:t>
      </w:r>
      <w:r w:rsidR="0091473B" w:rsidRPr="0091473B">
        <w:rPr>
          <w:spacing w:val="-2"/>
        </w:rPr>
        <w:t xml:space="preserve">s costs in that calendar year </w:t>
      </w:r>
      <w:r>
        <w:rPr>
          <w:spacing w:val="-2"/>
        </w:rPr>
        <w:t>were</w:t>
      </w:r>
      <w:r w:rsidR="0091473B" w:rsidRPr="0091473B">
        <w:rPr>
          <w:spacing w:val="-2"/>
        </w:rPr>
        <w:t xml:space="preserve"> assigned to survivor </w:t>
      </w:r>
      <w:r w:rsidR="0091473B" w:rsidRPr="0091473B">
        <w:t xml:space="preserve">costs. If a beneficiary died within the calendar year </w:t>
      </w:r>
      <w:r>
        <w:t xml:space="preserve">then all the costs relating to </w:t>
      </w:r>
      <w:r w:rsidR="0091473B" w:rsidRPr="0091473B">
        <w:rPr>
          <w:spacing w:val="-3"/>
        </w:rPr>
        <w:t xml:space="preserve">that beneficiary </w:t>
      </w:r>
      <w:r>
        <w:rPr>
          <w:spacing w:val="-3"/>
        </w:rPr>
        <w:t>were</w:t>
      </w:r>
      <w:r w:rsidR="0091473B" w:rsidRPr="0091473B">
        <w:rPr>
          <w:spacing w:val="-3"/>
        </w:rPr>
        <w:t xml:space="preserve"> assigned to decedent costs. Finally, if a beneficiary died in the</w:t>
      </w:r>
      <w:r w:rsidR="00150FA7">
        <w:rPr>
          <w:spacing w:val="-3"/>
        </w:rPr>
        <w:t xml:space="preserve"> </w:t>
      </w:r>
      <w:r w:rsidR="0091473B" w:rsidRPr="0091473B">
        <w:rPr>
          <w:spacing w:val="-1"/>
        </w:rPr>
        <w:t xml:space="preserve">subsequent calendar year to that considered then a portion of the costs arising in </w:t>
      </w:r>
      <w:r>
        <w:t>that calendar year were</w:t>
      </w:r>
      <w:r w:rsidR="0091473B" w:rsidRPr="0091473B">
        <w:t xml:space="preserve"> assigned to decedent costs and the rest to survivor costs. </w:t>
      </w:r>
      <w:r>
        <w:rPr>
          <w:spacing w:val="-1"/>
        </w:rPr>
        <w:t>The above portion was</w:t>
      </w:r>
      <w:r w:rsidR="0091473B" w:rsidRPr="0091473B">
        <w:rPr>
          <w:spacing w:val="-1"/>
        </w:rPr>
        <w:t xml:space="preserve"> determined by the number of months within the considered </w:t>
      </w:r>
      <w:r w:rsidR="0091473B" w:rsidRPr="0091473B">
        <w:t>calendar year that the beneficiary is in the last year of life. The exposure period within each calendar year</w:t>
      </w:r>
      <w:r w:rsidR="005C650D">
        <w:t>,</w:t>
      </w:r>
      <w:r w:rsidR="0091473B" w:rsidRPr="0091473B">
        <w:t xml:space="preserve"> </w:t>
      </w:r>
      <w:r w:rsidR="005C650D">
        <w:t xml:space="preserve">allocated to </w:t>
      </w:r>
      <w:r w:rsidR="0091473B" w:rsidRPr="0091473B">
        <w:t xml:space="preserve">either </w:t>
      </w:r>
      <w:r w:rsidR="005C650D">
        <w:t xml:space="preserve">the </w:t>
      </w:r>
      <w:r>
        <w:t xml:space="preserve">survivor or </w:t>
      </w:r>
      <w:r w:rsidR="0091473B" w:rsidRPr="0091473B">
        <w:rPr>
          <w:spacing w:val="-3"/>
        </w:rPr>
        <w:t xml:space="preserve">decedent </w:t>
      </w:r>
      <w:r w:rsidR="005C650D">
        <w:rPr>
          <w:spacing w:val="-3"/>
        </w:rPr>
        <w:t xml:space="preserve">category, </w:t>
      </w:r>
      <w:r>
        <w:rPr>
          <w:spacing w:val="-3"/>
        </w:rPr>
        <w:t>was</w:t>
      </w:r>
      <w:r w:rsidR="0091473B" w:rsidRPr="0091473B">
        <w:rPr>
          <w:spacing w:val="-3"/>
        </w:rPr>
        <w:t xml:space="preserve"> determined in the same way</w:t>
      </w:r>
      <w:r w:rsidR="008E6A87">
        <w:rPr>
          <w:spacing w:val="-3"/>
        </w:rPr>
        <w:t xml:space="preserve"> </w:t>
      </w:r>
      <w:r w:rsidR="009040E7">
        <w:rPr>
          <w:spacing w:val="-3"/>
        </w:rPr>
        <w:fldChar w:fldCharType="begin">
          <w:fldData xml:space="preserve">PEVuZE5vdGU+PENpdGU+PEF1dGhvcj5MdWJpdHo8L0F1dGhvcj48WWVhcj4xOTkzPC9ZZWFyPjxS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==
</w:fldData>
        </w:fldChar>
      </w:r>
      <w:r w:rsidR="008E6A87">
        <w:rPr>
          <w:spacing w:val="-3"/>
        </w:rPr>
        <w:instrText xml:space="preserve"> ADDIN EN.CITE </w:instrText>
      </w:r>
      <w:r w:rsidR="009040E7">
        <w:rPr>
          <w:spacing w:val="-3"/>
        </w:rPr>
        <w:fldChar w:fldCharType="begin">
          <w:fldData xml:space="preserve">PEVuZE5vdGU+PENpdGU+PEF1dGhvcj5MdWJpdHo8L0F1dGhvcj48WWVhcj4xOTkzPC9ZZWFyPjxS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==
</w:fldData>
        </w:fldChar>
      </w:r>
      <w:r w:rsidR="008E6A87">
        <w:rPr>
          <w:spacing w:val="-3"/>
        </w:rPr>
        <w:instrText xml:space="preserve"> ADDIN EN.CITE.DATA </w:instrText>
      </w:r>
      <w:r w:rsidR="009040E7">
        <w:rPr>
          <w:spacing w:val="-3"/>
        </w:rPr>
      </w:r>
      <w:r w:rsidR="009040E7">
        <w:rPr>
          <w:spacing w:val="-3"/>
        </w:rPr>
        <w:fldChar w:fldCharType="end"/>
      </w:r>
      <w:r w:rsidR="009040E7">
        <w:rPr>
          <w:spacing w:val="-3"/>
        </w:rPr>
      </w:r>
      <w:r w:rsidR="009040E7">
        <w:rPr>
          <w:spacing w:val="-3"/>
        </w:rPr>
        <w:fldChar w:fldCharType="separate"/>
      </w:r>
      <w:r w:rsidR="008E6A87">
        <w:rPr>
          <w:noProof/>
          <w:spacing w:val="-3"/>
        </w:rPr>
        <w:t>(</w:t>
      </w:r>
      <w:hyperlink w:anchor="_ENREF_3" w:tooltip="Calfo, 2008 #8" w:history="1">
        <w:r w:rsidR="00423904">
          <w:rPr>
            <w:noProof/>
            <w:spacing w:val="-3"/>
          </w:rPr>
          <w:t>Calfo et al., 2008</w:t>
        </w:r>
      </w:hyperlink>
      <w:proofErr w:type="gramStart"/>
      <w:r w:rsidR="008E6A87">
        <w:rPr>
          <w:noProof/>
          <w:spacing w:val="-3"/>
        </w:rPr>
        <w:t xml:space="preserve">; </w:t>
      </w:r>
      <w:hyperlink w:anchor="_ENREF_12" w:tooltip="Lubitz, 1993 #17" w:history="1">
        <w:r w:rsidR="00423904">
          <w:rPr>
            <w:noProof/>
            <w:spacing w:val="-3"/>
          </w:rPr>
          <w:t>Lubitz &amp; Riley, 1993</w:t>
        </w:r>
      </w:hyperlink>
      <w:r w:rsidR="008E6A87">
        <w:rPr>
          <w:noProof/>
          <w:spacing w:val="-3"/>
        </w:rPr>
        <w:t>,</w:t>
      </w:r>
      <w:proofErr w:type="gramEnd"/>
      <w:r w:rsidR="008E6A87">
        <w:rPr>
          <w:noProof/>
          <w:spacing w:val="-3"/>
        </w:rPr>
        <w:t xml:space="preserve"> </w:t>
      </w:r>
      <w:hyperlink w:anchor="_ENREF_13" w:tooltip="Lubitz, 2010 #16" w:history="1">
        <w:r w:rsidR="00423904">
          <w:rPr>
            <w:noProof/>
            <w:spacing w:val="-3"/>
          </w:rPr>
          <w:t>2010</w:t>
        </w:r>
      </w:hyperlink>
      <w:r w:rsidR="008E6A87">
        <w:rPr>
          <w:noProof/>
          <w:spacing w:val="-3"/>
        </w:rPr>
        <w:t>)</w:t>
      </w:r>
      <w:r w:rsidR="009040E7">
        <w:rPr>
          <w:spacing w:val="-3"/>
        </w:rPr>
        <w:fldChar w:fldCharType="end"/>
      </w:r>
      <w:r w:rsidR="00B00D05">
        <w:rPr>
          <w:w w:val="105"/>
        </w:rPr>
        <w:t>. Decedent</w:t>
      </w:r>
      <w:r w:rsidR="0091473B" w:rsidRPr="0091473B">
        <w:rPr>
          <w:w w:val="105"/>
        </w:rPr>
        <w:t>s</w:t>
      </w:r>
      <w:r w:rsidR="00B00D05">
        <w:rPr>
          <w:w w:val="105"/>
        </w:rPr>
        <w:t>’</w:t>
      </w:r>
      <w:r w:rsidR="0091473B" w:rsidRPr="0091473B">
        <w:rPr>
          <w:w w:val="105"/>
        </w:rPr>
        <w:t xml:space="preserve"> costs and exposure periods were then </w:t>
      </w:r>
      <w:r w:rsidR="0091473B" w:rsidRPr="0091473B">
        <w:rPr>
          <w:spacing w:val="-1"/>
        </w:rPr>
        <w:t xml:space="preserve">aggregated by summing all </w:t>
      </w:r>
      <w:r w:rsidR="00150FA7">
        <w:rPr>
          <w:spacing w:val="-1"/>
        </w:rPr>
        <w:t>d</w:t>
      </w:r>
      <w:r w:rsidR="0091473B" w:rsidRPr="0091473B">
        <w:rPr>
          <w:spacing w:val="-1"/>
        </w:rPr>
        <w:t>ecedents</w:t>
      </w:r>
      <w:r w:rsidR="008E6A87">
        <w:rPr>
          <w:spacing w:val="-1"/>
        </w:rPr>
        <w:t xml:space="preserve">’ </w:t>
      </w:r>
      <w:r w:rsidR="0091473B" w:rsidRPr="0091473B">
        <w:rPr>
          <w:spacing w:val="-1"/>
        </w:rPr>
        <w:t xml:space="preserve">costs and exposures, respectively, within </w:t>
      </w:r>
      <w:bookmarkStart w:id="6" w:name="Pg15"/>
      <w:bookmarkEnd w:id="6"/>
      <w:r w:rsidR="0091473B" w:rsidRPr="0091473B">
        <w:rPr>
          <w:spacing w:val="-2"/>
        </w:rPr>
        <w:t xml:space="preserve">each particular calendar year. Equivalently, aggregate survivor costs and exposure </w:t>
      </w:r>
      <w:r w:rsidR="005C650D">
        <w:t xml:space="preserve">were </w:t>
      </w:r>
      <w:r w:rsidR="0091473B" w:rsidRPr="0091473B">
        <w:t xml:space="preserve">calculated. Average survivor and decedent costs </w:t>
      </w:r>
      <w:r w:rsidR="005C650D">
        <w:t xml:space="preserve">were </w:t>
      </w:r>
      <w:r w:rsidR="0091473B" w:rsidRPr="0091473B">
        <w:t xml:space="preserve">then calculated using the </w:t>
      </w:r>
      <w:r w:rsidR="0091473B" w:rsidRPr="0091473B">
        <w:rPr>
          <w:w w:val="106"/>
        </w:rPr>
        <w:t xml:space="preserve">same method described in the final </w:t>
      </w:r>
      <w:r w:rsidR="000A0E24">
        <w:rPr>
          <w:w w:val="106"/>
        </w:rPr>
        <w:t>p</w:t>
      </w:r>
      <w:r w:rsidR="00B00D05">
        <w:rPr>
          <w:w w:val="106"/>
        </w:rPr>
        <w:t>aragraph of s</w:t>
      </w:r>
      <w:r w:rsidR="0091473B" w:rsidRPr="0091473B">
        <w:rPr>
          <w:w w:val="106"/>
        </w:rPr>
        <w:t xml:space="preserve">ection 4.1. Ratios </w:t>
      </w:r>
      <w:r w:rsidR="00B00D05">
        <w:rPr>
          <w:w w:val="106"/>
        </w:rPr>
        <w:t>were</w:t>
      </w:r>
      <w:r w:rsidR="0091473B" w:rsidRPr="0091473B">
        <w:rPr>
          <w:w w:val="106"/>
        </w:rPr>
        <w:t xml:space="preserve"> </w:t>
      </w:r>
      <w:r w:rsidR="0091473B" w:rsidRPr="0091473B">
        <w:rPr>
          <w:w w:val="109"/>
        </w:rPr>
        <w:t xml:space="preserve">calculated to compare the average survivor </w:t>
      </w:r>
      <w:r w:rsidR="00150FA7">
        <w:rPr>
          <w:w w:val="109"/>
        </w:rPr>
        <w:t>a</w:t>
      </w:r>
      <w:r w:rsidR="0091473B" w:rsidRPr="0091473B">
        <w:rPr>
          <w:w w:val="109"/>
        </w:rPr>
        <w:t xml:space="preserve">nd decedent costs within each </w:t>
      </w:r>
      <w:r w:rsidR="0091473B" w:rsidRPr="0091473B">
        <w:rPr>
          <w:spacing w:val="-3"/>
        </w:rPr>
        <w:t xml:space="preserve">calendar year. </w:t>
      </w:r>
    </w:p>
    <w:p w:rsidR="007B57B1" w:rsidRPr="00D9768A" w:rsidRDefault="007B57B1" w:rsidP="00D9768A">
      <w:pPr>
        <w:pStyle w:val="Body1"/>
        <w:spacing w:line="240" w:lineRule="auto"/>
        <w:contextualSpacing/>
        <w:jc w:val="both"/>
        <w:rPr>
          <w:rFonts w:ascii="Times New Roman" w:eastAsiaTheme="minorHAnsi" w:hAnsi="Times New Roman"/>
          <w:color w:val="auto"/>
          <w:w w:val="105"/>
          <w:sz w:val="24"/>
          <w:szCs w:val="22"/>
        </w:rPr>
      </w:pPr>
      <w:r w:rsidRPr="00D9768A">
        <w:rPr>
          <w:rFonts w:ascii="Times New Roman" w:eastAsiaTheme="minorHAnsi" w:hAnsi="Times New Roman"/>
          <w:color w:val="auto"/>
          <w:w w:val="105"/>
          <w:sz w:val="24"/>
          <w:szCs w:val="22"/>
        </w:rPr>
        <w:t>Furthermore, it is visible when comparing Figures 1 &amp; 2 that survivor and decedent exposure distributions vary considerably for each year. In order to make the comparison of average survivor and decedent costs more meaningful, it is necessary to risk adjust the average costs by age and gender. This has the effect of adjusting the averages in such a way that it is as if they are determined from a population with the same age and gender profile. It is decided that the average survivor and decedent costs would be adjusted by their respective year’s entire risk pool age and gender exposure distribution.</w:t>
      </w:r>
    </w:p>
    <w:p w:rsidR="007B57B1" w:rsidRPr="00D9768A" w:rsidRDefault="00D9768A" w:rsidP="00D9768A">
      <w:pPr>
        <w:jc w:val="both"/>
      </w:pPr>
      <w:r w:rsidRPr="00D9768A">
        <w:t>It is important to note that n</w:t>
      </w:r>
      <w:r w:rsidR="007B57B1" w:rsidRPr="00D9768A">
        <w:t xml:space="preserve">o data were available for deaths during 2012. As a result, all the costs of beneficiaries who survived to the end of 2011 were considered to be survivor costs. However, a part of the costs for beneficiaries who died in 2012 are last-year-of-life costs. The result is that last-year-of-life costs calculated in the first part of the investigation are underestimated. In addition, the decedent and survivor costs pertaining to 2011 are affected. The 2011 decedent costs are an underestimation of the true value and the survivor costs are </w:t>
      </w:r>
      <w:r w:rsidR="007B57B1" w:rsidRPr="00D9768A">
        <w:lastRenderedPageBreak/>
        <w:t xml:space="preserve">an overestimation of the true value. The extent of the inaccuracies is entirely dependent of the 2012 mortality of beneficiaries alive at the end of the study period. </w:t>
      </w:r>
    </w:p>
    <w:p w:rsidR="007B57B1" w:rsidRPr="00D9768A" w:rsidRDefault="00D9768A" w:rsidP="00D9768A">
      <w:pPr>
        <w:jc w:val="both"/>
        <w:rPr>
          <w:spacing w:val="-3"/>
        </w:rPr>
      </w:pPr>
      <w:r w:rsidRPr="00D9768A">
        <w:rPr>
          <w:spacing w:val="-1"/>
        </w:rPr>
        <w:t>In addition i</w:t>
      </w:r>
      <w:r w:rsidR="007B57B1" w:rsidRPr="00D9768A">
        <w:rPr>
          <w:spacing w:val="-1"/>
        </w:rPr>
        <w:t>t should be noted that while undertaking the above methods in s</w:t>
      </w:r>
      <w:r w:rsidR="007C7EB2">
        <w:rPr>
          <w:spacing w:val="-1"/>
        </w:rPr>
        <w:t>ection 5.1 &amp; 5</w:t>
      </w:r>
      <w:r w:rsidR="007B57B1" w:rsidRPr="00D9768A">
        <w:rPr>
          <w:spacing w:val="-1"/>
        </w:rPr>
        <w:t xml:space="preserve">.2, </w:t>
      </w:r>
      <w:r w:rsidR="007B57B1" w:rsidRPr="00D9768A">
        <w:rPr>
          <w:w w:val="105"/>
        </w:rPr>
        <w:t xml:space="preserve">treatment months of a small number of claims were observed to fall outside the </w:t>
      </w:r>
      <w:r w:rsidR="007B57B1" w:rsidRPr="00D9768A">
        <w:rPr>
          <w:w w:val="107"/>
        </w:rPr>
        <w:t xml:space="preserve">calculated exposure period. Consultation with Medscheme about these </w:t>
      </w:r>
      <w:r w:rsidR="007B57B1" w:rsidRPr="00D9768A">
        <w:t xml:space="preserve">inconsistencies indicated that they most likely occurred due to administrative </w:t>
      </w:r>
      <w:r w:rsidR="007B57B1" w:rsidRPr="00D9768A">
        <w:rPr>
          <w:w w:val="102"/>
        </w:rPr>
        <w:t xml:space="preserve">errors. The sum total of these claims amounted to approximately 0.01% of total </w:t>
      </w:r>
      <w:r w:rsidR="007B57B1" w:rsidRPr="00D9768A">
        <w:rPr>
          <w:spacing w:val="-3"/>
        </w:rPr>
        <w:t xml:space="preserve">decedent claims and they were excluded from the investigation. </w:t>
      </w:r>
    </w:p>
    <w:p w:rsidR="0091473B" w:rsidRPr="007B57B1" w:rsidRDefault="007B57B1" w:rsidP="00D9768A">
      <w:pPr>
        <w:pStyle w:val="Body1"/>
        <w:spacing w:line="240" w:lineRule="auto"/>
        <w:contextualSpacing/>
        <w:jc w:val="both"/>
        <w:rPr>
          <w:rFonts w:ascii="Times New Roman" w:hAnsi="Times New Roman"/>
          <w:sz w:val="24"/>
        </w:rPr>
      </w:pPr>
      <w:r w:rsidRPr="00D9768A">
        <w:rPr>
          <w:rFonts w:ascii="Times New Roman" w:hAnsi="Times New Roman"/>
          <w:sz w:val="24"/>
        </w:rPr>
        <w:t>Finally, once the average costs are calculated they are compared for statistical significance using independent two-sample t-tests. The assumptions of this test are that, first, the two samples are normally distributed, second, that the samples are independent and, third, that the variances are equal.</w:t>
      </w:r>
      <w:r>
        <w:rPr>
          <w:rFonts w:ascii="Times New Roman" w:hAnsi="Times New Roman"/>
          <w:sz w:val="24"/>
        </w:rPr>
        <w:t xml:space="preserve"> </w:t>
      </w:r>
      <w:r w:rsidR="0091473B" w:rsidRPr="0091473B">
        <w:rPr>
          <w:spacing w:val="-3"/>
        </w:rPr>
        <w:t xml:space="preserve"> </w:t>
      </w:r>
    </w:p>
    <w:p w:rsidR="00B909C6" w:rsidRDefault="00B909C6" w:rsidP="00150FA7">
      <w:pPr>
        <w:pStyle w:val="ListParagraph"/>
        <w:numPr>
          <w:ilvl w:val="0"/>
          <w:numId w:val="25"/>
        </w:numPr>
        <w:rPr>
          <w:caps/>
        </w:rPr>
      </w:pPr>
      <w:r w:rsidRPr="00F26530">
        <w:rPr>
          <w:caps/>
        </w:rPr>
        <w:t>Results</w:t>
      </w:r>
    </w:p>
    <w:p w:rsidR="007B57B1" w:rsidRDefault="007B57B1" w:rsidP="007B57B1">
      <w:pPr>
        <w:pStyle w:val="ListParagraph"/>
        <w:ind w:left="360"/>
        <w:rPr>
          <w:caps/>
        </w:rPr>
      </w:pPr>
    </w:p>
    <w:p w:rsidR="007B57B1" w:rsidRPr="00F26530" w:rsidRDefault="00625779" w:rsidP="007B57B1">
      <w:pPr>
        <w:rPr>
          <w:caps/>
        </w:rPr>
      </w:pPr>
      <w:r>
        <w:rPr>
          <w:caps/>
        </w:rPr>
        <w:t>6</w:t>
      </w:r>
      <w:r w:rsidR="007B57B1" w:rsidRPr="00F26530">
        <w:rPr>
          <w:caps/>
        </w:rPr>
        <w:t xml:space="preserve">.1 Analysis of Average Costs in the Last Years of Life </w:t>
      </w:r>
    </w:p>
    <w:p w:rsidR="007B57B1" w:rsidRDefault="007B57B1" w:rsidP="00D9768A">
      <w:pPr>
        <w:jc w:val="both"/>
        <w:rPr>
          <w:spacing w:val="-3"/>
        </w:rPr>
      </w:pPr>
      <w:r w:rsidRPr="00150FA7">
        <w:t>The average cost in the last</w:t>
      </w:r>
      <w:r>
        <w:t xml:space="preserve"> year of life </w:t>
      </w:r>
      <w:r w:rsidRPr="00150FA7">
        <w:t xml:space="preserve">is substantially </w:t>
      </w:r>
      <w:r w:rsidRPr="00150FA7">
        <w:rPr>
          <w:spacing w:val="-3"/>
        </w:rPr>
        <w:t xml:space="preserve">higher than in the three earlier years prior to death (Table 1). </w:t>
      </w:r>
    </w:p>
    <w:p w:rsidR="007B57B1" w:rsidRDefault="007B57B1" w:rsidP="007B57B1">
      <w:pPr>
        <w:pStyle w:val="Caption"/>
      </w:pPr>
      <w:r>
        <w:t xml:space="preserve">Table </w:t>
      </w:r>
      <w:fldSimple w:instr=" SEQ Table \* ARABIC ">
        <w:r>
          <w:rPr>
            <w:noProof/>
          </w:rPr>
          <w:t>1</w:t>
        </w:r>
      </w:fldSimple>
      <w:r w:rsidRPr="00D97E26">
        <w:t xml:space="preserve">: Average </w:t>
      </w:r>
      <w:r>
        <w:t>claimed amount</w:t>
      </w:r>
      <w:r w:rsidRPr="00D97E26">
        <w:t xml:space="preserve"> for each </w:t>
      </w:r>
      <w:r>
        <w:t xml:space="preserve">year prior to death, </w:t>
      </w:r>
      <w:r w:rsidRPr="00D97E26">
        <w:t xml:space="preserve">as well as the </w:t>
      </w:r>
      <w:r>
        <w:t>r</w:t>
      </w:r>
      <w:r w:rsidRPr="00D97E26">
        <w:t xml:space="preserve">atio between the </w:t>
      </w:r>
      <w:r>
        <w:t>a</w:t>
      </w:r>
      <w:r w:rsidRPr="00D97E26">
        <w:t xml:space="preserve">verage </w:t>
      </w:r>
      <w:r>
        <w:t xml:space="preserve">claimed amounts </w:t>
      </w:r>
      <w:r w:rsidRPr="00D97E26">
        <w:t xml:space="preserve">in the </w:t>
      </w:r>
      <w:r>
        <w:t>s</w:t>
      </w:r>
      <w:r w:rsidRPr="00D97E26">
        <w:t xml:space="preserve">uccessive </w:t>
      </w:r>
      <w:r>
        <w:t>y</w:t>
      </w:r>
      <w:r w:rsidRPr="00D97E26">
        <w:t xml:space="preserve">ears </w:t>
      </w:r>
      <w:r>
        <w:t>p</w:t>
      </w:r>
      <w:r w:rsidRPr="00D97E26">
        <w:t xml:space="preserve">rior to </w:t>
      </w:r>
      <w:r>
        <w:t>d</w:t>
      </w:r>
      <w:r w:rsidRPr="00D97E26">
        <w:t xml:space="preserve">eath </w:t>
      </w:r>
    </w:p>
    <w:p w:rsidR="007B57B1" w:rsidRDefault="0066042D" w:rsidP="007B57B1">
      <w:r>
        <w:rPr>
          <w:noProof/>
          <w:lang w:val="en-US" w:eastAsia="en-US"/>
        </w:rPr>
        <w:pict>
          <v:shapetype id="_x0000_t202" coordsize="21600,21600" o:spt="202" path="m,l,21600r21600,l21600,xe">
            <v:stroke joinstyle="miter"/>
            <v:path gradientshapeok="t" o:connecttype="rect"/>
          </v:shapetype>
          <v:shape id="Text Box 10" o:spid="_x0000_s1027" type="#_x0000_t202" style="position:absolute;margin-left:18pt;margin-top:.85pt;width:410.5pt;height:154.45pt;z-index:-251543552;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" filled="f" stroked="f">
            <v:fill opacity="0"/>
            <v:textbox inset="0,0,0,0">
              <w:txbxContent>
                <w:tbl>
                  <w:tblPr>
                    <w:tblW w:w="7909" w:type="dxa"/>
                    <w:tblInd w:w="150" w:type="dxa"/>
                    <w:tblLook w:val="04A0" w:firstRow="1" w:lastRow="0" w:firstColumn="1" w:lastColumn="0" w:noHBand="0" w:noVBand="1"/>
                  </w:tblPr>
                  <w:tblGrid>
                    <w:gridCol w:w="3122"/>
                    <w:gridCol w:w="1246"/>
                    <w:gridCol w:w="1218"/>
                    <w:gridCol w:w="1231"/>
                    <w:gridCol w:w="371"/>
                    <w:gridCol w:w="721"/>
                  </w:tblGrid>
                  <w:tr w:rsidR="0066042D" w:rsidRPr="00C3021C" w:rsidTr="00613B31">
                    <w:trPr>
                      <w:trHeight w:val="397"/>
                    </w:trPr>
                    <w:tc>
                      <w:tcPr>
                        <w:tcW w:w="3122" w:type="dxa"/>
                        <w:tcBorders>
                          <w:top w:val="single" w:sz="4" w:space="0" w:color="auto"/>
                          <w:left w:val="nil"/>
                          <w:right w:val="nil"/>
                        </w:tcBorders>
                        <w:shd w:val="clear" w:color="auto" w:fill="auto"/>
                        <w:noWrap/>
                        <w:vAlign w:val="bottom"/>
                        <w:hideMark/>
                      </w:tcPr>
                      <w:p w:rsidR="0066042D" w:rsidRPr="009526C1" w:rsidRDefault="0066042D" w:rsidP="00613B31">
                        <w:pPr>
                          <w:spacing w:after="0"/>
                          <w:rPr>
                            <w:rFonts w:eastAsia="Arial Unicode MS"/>
                            <w:color w:val="000000"/>
                            <w:u w:color="000000"/>
                          </w:rPr>
                        </w:pPr>
                      </w:p>
                    </w:tc>
                    <w:tc>
                      <w:tcPr>
                        <w:tcW w:w="4787" w:type="dxa"/>
                        <w:gridSpan w:val="5"/>
                        <w:tcBorders>
                          <w:top w:val="single" w:sz="4" w:space="0" w:color="auto"/>
                          <w:left w:val="nil"/>
                          <w:bottom w:val="single" w:sz="4" w:space="0" w:color="auto"/>
                          <w:right w:val="nil"/>
                        </w:tcBorders>
                        <w:shd w:val="clear" w:color="auto" w:fill="auto"/>
                        <w:noWrap/>
                        <w:vAlign w:val="center"/>
                        <w:hideMark/>
                      </w:tcPr>
                      <w:p w:rsidR="0066042D" w:rsidRPr="00A61AA2" w:rsidRDefault="0066042D" w:rsidP="00613B31">
                        <w:pPr>
                          <w:spacing w:after="0"/>
                          <w:jc w:val="center"/>
                          <w:rPr>
                            <w:rFonts w:eastAsia="Arial Unicode MS"/>
                            <w:i/>
                            <w:color w:val="000000"/>
                          </w:rPr>
                        </w:pPr>
                        <w:r w:rsidRPr="00A61AA2">
                          <w:rPr>
                            <w:rFonts w:eastAsia="Arial Unicode MS"/>
                            <w:i/>
                            <w:color w:val="000000"/>
                          </w:rPr>
                          <w:t>Year Prior to Death</w:t>
                        </w:r>
                      </w:p>
                    </w:tc>
                  </w:tr>
                  <w:tr w:rsidR="0066042D" w:rsidRPr="00C3021C" w:rsidTr="00613B31">
                    <w:trPr>
                      <w:trHeight w:val="300"/>
                    </w:trPr>
                    <w:tc>
                      <w:tcPr>
                        <w:tcW w:w="3122" w:type="dxa"/>
                        <w:tcBorders>
                          <w:top w:val="nil"/>
                          <w:left w:val="nil"/>
                          <w:bottom w:val="single" w:sz="4" w:space="0" w:color="auto"/>
                          <w:right w:val="nil"/>
                        </w:tcBorders>
                        <w:shd w:val="clear" w:color="auto" w:fill="auto"/>
                        <w:noWrap/>
                        <w:vAlign w:val="bottom"/>
                        <w:hideMark/>
                      </w:tcPr>
                      <w:p w:rsidR="0066042D" w:rsidRPr="00B323A5" w:rsidRDefault="0066042D" w:rsidP="00613B31">
                        <w:pPr>
                          <w:spacing w:after="0"/>
                          <w:rPr>
                            <w:rFonts w:eastAsia="Arial Unicode MS"/>
                            <w:color w:val="000000"/>
                            <w:u w:color="000000"/>
                          </w:rPr>
                        </w:pPr>
                      </w:p>
                    </w:tc>
                    <w:tc>
                      <w:tcPr>
                        <w:tcW w:w="1246" w:type="dxa"/>
                        <w:tcBorders>
                          <w:top w:val="single" w:sz="4" w:space="0" w:color="auto"/>
                          <w:left w:val="nil"/>
                          <w:bottom w:val="single" w:sz="4" w:space="0" w:color="auto"/>
                          <w:right w:val="nil"/>
                        </w:tcBorders>
                        <w:shd w:val="clear" w:color="auto" w:fill="auto"/>
                        <w:noWrap/>
                        <w:vAlign w:val="bottom"/>
                        <w:hideMark/>
                      </w:tcPr>
                      <w:p w:rsidR="0066042D" w:rsidRPr="00A61AA2" w:rsidRDefault="0066042D" w:rsidP="00613B31">
                        <w:pPr>
                          <w:spacing w:after="0"/>
                          <w:jc w:val="center"/>
                          <w:rPr>
                            <w:rFonts w:eastAsia="Arial Unicode MS"/>
                            <w:i/>
                            <w:color w:val="000000"/>
                          </w:rPr>
                        </w:pPr>
                        <w:r w:rsidRPr="00A61AA2">
                          <w:rPr>
                            <w:rFonts w:eastAsia="Arial Unicode MS"/>
                            <w:i/>
                            <w:color w:val="000000"/>
                          </w:rPr>
                          <w:t>1</w:t>
                        </w:r>
                        <w:r w:rsidRPr="00A61AA2">
                          <w:rPr>
                            <w:rFonts w:eastAsia="Arial Unicode MS"/>
                            <w:i/>
                            <w:color w:val="000000"/>
                            <w:vertAlign w:val="superscript"/>
                          </w:rPr>
                          <w:t>st</w:t>
                        </w:r>
                      </w:p>
                    </w:tc>
                    <w:tc>
                      <w:tcPr>
                        <w:tcW w:w="1218" w:type="dxa"/>
                        <w:tcBorders>
                          <w:top w:val="single" w:sz="4" w:space="0" w:color="auto"/>
                          <w:left w:val="nil"/>
                          <w:bottom w:val="single" w:sz="4" w:space="0" w:color="auto"/>
                          <w:right w:val="nil"/>
                        </w:tcBorders>
                        <w:shd w:val="clear" w:color="auto" w:fill="auto"/>
                        <w:noWrap/>
                        <w:vAlign w:val="bottom"/>
                        <w:hideMark/>
                      </w:tcPr>
                      <w:p w:rsidR="0066042D" w:rsidRPr="00A61AA2" w:rsidRDefault="0066042D" w:rsidP="00613B31">
                        <w:pPr>
                          <w:spacing w:after="0"/>
                          <w:jc w:val="center"/>
                          <w:rPr>
                            <w:rFonts w:eastAsia="Arial Unicode MS"/>
                            <w:i/>
                            <w:color w:val="000000"/>
                          </w:rPr>
                        </w:pPr>
                        <w:r>
                          <w:rPr>
                            <w:rFonts w:eastAsia="Arial Unicode MS"/>
                            <w:i/>
                            <w:color w:val="000000"/>
                          </w:rPr>
                          <w:t xml:space="preserve">   </w:t>
                        </w:r>
                        <w:r w:rsidRPr="00A61AA2">
                          <w:rPr>
                            <w:rFonts w:eastAsia="Arial Unicode MS"/>
                            <w:i/>
                            <w:color w:val="000000"/>
                          </w:rPr>
                          <w:t>2</w:t>
                        </w:r>
                        <w:r w:rsidRPr="00A61AA2">
                          <w:rPr>
                            <w:rFonts w:eastAsia="Arial Unicode MS"/>
                            <w:i/>
                            <w:color w:val="000000"/>
                            <w:vertAlign w:val="superscript"/>
                          </w:rPr>
                          <w:t>nd</w:t>
                        </w:r>
                      </w:p>
                    </w:tc>
                    <w:tc>
                      <w:tcPr>
                        <w:tcW w:w="1602" w:type="dxa"/>
                        <w:gridSpan w:val="2"/>
                        <w:tcBorders>
                          <w:top w:val="single" w:sz="4" w:space="0" w:color="auto"/>
                          <w:left w:val="nil"/>
                          <w:bottom w:val="single" w:sz="4" w:space="0" w:color="auto"/>
                          <w:right w:val="nil"/>
                        </w:tcBorders>
                        <w:shd w:val="clear" w:color="auto" w:fill="auto"/>
                        <w:noWrap/>
                        <w:vAlign w:val="bottom"/>
                        <w:hideMark/>
                      </w:tcPr>
                      <w:p w:rsidR="0066042D" w:rsidRPr="00A61AA2" w:rsidRDefault="0066042D" w:rsidP="00613B31">
                        <w:pPr>
                          <w:spacing w:after="0"/>
                          <w:rPr>
                            <w:rFonts w:eastAsia="Arial Unicode MS"/>
                            <w:i/>
                            <w:color w:val="000000"/>
                          </w:rPr>
                        </w:pPr>
                        <w:r>
                          <w:rPr>
                            <w:rFonts w:eastAsia="Arial Unicode MS"/>
                            <w:i/>
                            <w:color w:val="000000"/>
                          </w:rPr>
                          <w:t xml:space="preserve">        </w:t>
                        </w:r>
                        <w:r w:rsidRPr="00A61AA2">
                          <w:rPr>
                            <w:rFonts w:eastAsia="Arial Unicode MS"/>
                            <w:i/>
                            <w:color w:val="000000"/>
                          </w:rPr>
                          <w:t>3</w:t>
                        </w:r>
                        <w:r w:rsidRPr="00A61AA2">
                          <w:rPr>
                            <w:rFonts w:eastAsia="Arial Unicode MS"/>
                            <w:i/>
                            <w:color w:val="000000"/>
                            <w:vertAlign w:val="superscript"/>
                          </w:rPr>
                          <w:t>rd</w:t>
                        </w:r>
                      </w:p>
                    </w:tc>
                    <w:tc>
                      <w:tcPr>
                        <w:tcW w:w="721" w:type="dxa"/>
                        <w:tcBorders>
                          <w:top w:val="single" w:sz="4" w:space="0" w:color="auto"/>
                          <w:left w:val="nil"/>
                          <w:bottom w:val="single" w:sz="4" w:space="0" w:color="auto"/>
                          <w:right w:val="nil"/>
                        </w:tcBorders>
                        <w:shd w:val="clear" w:color="auto" w:fill="auto"/>
                        <w:noWrap/>
                        <w:vAlign w:val="bottom"/>
                        <w:hideMark/>
                      </w:tcPr>
                      <w:p w:rsidR="0066042D" w:rsidRPr="00A61AA2" w:rsidRDefault="0066042D" w:rsidP="00613B31">
                        <w:pPr>
                          <w:spacing w:after="0"/>
                          <w:rPr>
                            <w:rFonts w:eastAsia="Arial Unicode MS"/>
                            <w:i/>
                            <w:color w:val="000000"/>
                          </w:rPr>
                        </w:pPr>
                        <w:r w:rsidRPr="00A61AA2">
                          <w:rPr>
                            <w:rFonts w:eastAsia="Arial Unicode MS"/>
                            <w:i/>
                            <w:color w:val="000000"/>
                          </w:rPr>
                          <w:t>4</w:t>
                        </w:r>
                        <w:r w:rsidRPr="00A61AA2">
                          <w:rPr>
                            <w:rFonts w:eastAsia="Arial Unicode MS"/>
                            <w:i/>
                            <w:color w:val="000000"/>
                            <w:vertAlign w:val="superscript"/>
                          </w:rPr>
                          <w:t>th</w:t>
                        </w:r>
                        <w:r w:rsidRPr="00A61AA2">
                          <w:rPr>
                            <w:rFonts w:eastAsia="Arial Unicode MS"/>
                            <w:i/>
                            <w:color w:val="000000"/>
                          </w:rPr>
                          <w:t xml:space="preserve"> </w:t>
                        </w:r>
                      </w:p>
                    </w:tc>
                  </w:tr>
                  <w:tr w:rsidR="0066042D" w:rsidRPr="00C3021C" w:rsidTr="00613B31">
                    <w:trPr>
                      <w:trHeight w:val="409"/>
                    </w:trPr>
                    <w:tc>
                      <w:tcPr>
                        <w:tcW w:w="3122" w:type="dxa"/>
                        <w:tcBorders>
                          <w:top w:val="single" w:sz="4" w:space="0" w:color="auto"/>
                          <w:left w:val="nil"/>
                          <w:right w:val="nil"/>
                        </w:tcBorders>
                        <w:shd w:val="clear" w:color="auto" w:fill="auto"/>
                        <w:noWrap/>
                        <w:vAlign w:val="center"/>
                        <w:hideMark/>
                      </w:tcPr>
                      <w:p w:rsidR="0066042D" w:rsidRPr="0004494D" w:rsidRDefault="0066042D" w:rsidP="00613B31">
                        <w:pPr>
                          <w:spacing w:after="0"/>
                          <w:rPr>
                            <w:rFonts w:eastAsia="Arial Unicode MS"/>
                            <w:color w:val="000000"/>
                            <w:u w:color="000000"/>
                          </w:rPr>
                        </w:pPr>
                        <w:r w:rsidRPr="0004494D">
                          <w:rPr>
                            <w:rFonts w:eastAsia="Arial Unicode MS"/>
                            <w:color w:val="000000"/>
                            <w:u w:color="000000"/>
                          </w:rPr>
                          <w:t>Average Cost (in ZAR)</w:t>
                        </w:r>
                      </w:p>
                    </w:tc>
                    <w:tc>
                      <w:tcPr>
                        <w:tcW w:w="1246" w:type="dxa"/>
                        <w:tcBorders>
                          <w:top w:val="single" w:sz="4" w:space="0" w:color="auto"/>
                          <w:left w:val="nil"/>
                          <w:right w:val="nil"/>
                        </w:tcBorders>
                        <w:shd w:val="clear" w:color="auto" w:fill="auto"/>
                        <w:noWrap/>
                        <w:vAlign w:val="center"/>
                        <w:hideMark/>
                      </w:tcPr>
                      <w:p w:rsidR="0066042D" w:rsidRPr="00A06A6E" w:rsidRDefault="0066042D" w:rsidP="00613B31">
                        <w:pPr>
                          <w:spacing w:after="0"/>
                          <w:jc w:val="center"/>
                          <w:rPr>
                            <w:rFonts w:eastAsia="Arial Unicode MS"/>
                            <w:b/>
                            <w:color w:val="000000"/>
                            <w:sz w:val="21"/>
                            <w:szCs w:val="21"/>
                            <w:u w:color="000000"/>
                          </w:rPr>
                        </w:pPr>
                        <w:r>
                          <w:rPr>
                            <w:rFonts w:eastAsia="Arial Unicode MS"/>
                            <w:b/>
                            <w:color w:val="000000"/>
                            <w:sz w:val="21"/>
                            <w:szCs w:val="21"/>
                            <w:u w:color="000000"/>
                          </w:rPr>
                          <w:t>187 388.06</w:t>
                        </w:r>
                      </w:p>
                    </w:tc>
                    <w:tc>
                      <w:tcPr>
                        <w:tcW w:w="1218" w:type="dxa"/>
                        <w:tcBorders>
                          <w:top w:val="single" w:sz="4" w:space="0" w:color="auto"/>
                          <w:left w:val="nil"/>
                          <w:right w:val="nil"/>
                        </w:tcBorders>
                        <w:shd w:val="clear" w:color="auto" w:fill="auto"/>
                        <w:noWrap/>
                        <w:vAlign w:val="center"/>
                        <w:hideMark/>
                      </w:tcPr>
                      <w:p w:rsidR="0066042D" w:rsidRPr="00B323A5" w:rsidRDefault="0066042D" w:rsidP="00613B31">
                        <w:pPr>
                          <w:spacing w:after="0"/>
                          <w:jc w:val="center"/>
                          <w:rPr>
                            <w:rFonts w:eastAsia="Arial Unicode MS"/>
                            <w:color w:val="000000"/>
                            <w:sz w:val="21"/>
                            <w:szCs w:val="21"/>
                            <w:u w:color="000000"/>
                          </w:rPr>
                        </w:pPr>
                        <w:r w:rsidRPr="001A48BD">
                          <w:rPr>
                            <w:rFonts w:eastAsia="Arial Unicode MS"/>
                            <w:color w:val="000000"/>
                            <w:sz w:val="21"/>
                            <w:szCs w:val="21"/>
                            <w:u w:color="000000"/>
                          </w:rPr>
                          <w:t>53</w:t>
                        </w:r>
                        <w:r>
                          <w:rPr>
                            <w:rFonts w:eastAsia="Arial Unicode MS"/>
                            <w:color w:val="000000"/>
                            <w:sz w:val="21"/>
                            <w:szCs w:val="21"/>
                            <w:u w:color="000000"/>
                          </w:rPr>
                          <w:t xml:space="preserve"> </w:t>
                        </w:r>
                        <w:r w:rsidRPr="001A48BD">
                          <w:rPr>
                            <w:rFonts w:eastAsia="Arial Unicode MS"/>
                            <w:color w:val="000000"/>
                            <w:sz w:val="21"/>
                            <w:szCs w:val="21"/>
                            <w:u w:color="000000"/>
                          </w:rPr>
                          <w:t>158.52</w:t>
                        </w:r>
                      </w:p>
                    </w:tc>
                    <w:tc>
                      <w:tcPr>
                        <w:tcW w:w="1231" w:type="dxa"/>
                        <w:tcBorders>
                          <w:top w:val="single" w:sz="4" w:space="0" w:color="auto"/>
                          <w:left w:val="nil"/>
                          <w:right w:val="nil"/>
                        </w:tcBorders>
                        <w:shd w:val="clear" w:color="auto" w:fill="auto"/>
                        <w:noWrap/>
                        <w:vAlign w:val="center"/>
                        <w:hideMark/>
                      </w:tcPr>
                      <w:p w:rsidR="0066042D" w:rsidRPr="00B323A5" w:rsidRDefault="0066042D" w:rsidP="00613B31">
                        <w:pPr>
                          <w:spacing w:after="0"/>
                          <w:jc w:val="center"/>
                          <w:rPr>
                            <w:rFonts w:eastAsia="Arial Unicode MS"/>
                            <w:color w:val="000000"/>
                            <w:sz w:val="21"/>
                            <w:szCs w:val="21"/>
                            <w:u w:color="000000"/>
                          </w:rPr>
                        </w:pPr>
                        <w:r w:rsidRPr="001A48BD">
                          <w:rPr>
                            <w:rFonts w:eastAsia="Arial Unicode MS"/>
                            <w:color w:val="000000"/>
                            <w:sz w:val="21"/>
                            <w:szCs w:val="21"/>
                            <w:u w:color="000000"/>
                          </w:rPr>
                          <w:t>41</w:t>
                        </w:r>
                        <w:r>
                          <w:rPr>
                            <w:rFonts w:eastAsia="Arial Unicode MS"/>
                            <w:color w:val="000000"/>
                            <w:sz w:val="21"/>
                            <w:szCs w:val="21"/>
                            <w:u w:color="000000"/>
                          </w:rPr>
                          <w:t xml:space="preserve"> </w:t>
                        </w:r>
                        <w:r w:rsidRPr="001A48BD">
                          <w:rPr>
                            <w:rFonts w:eastAsia="Arial Unicode MS"/>
                            <w:color w:val="000000"/>
                            <w:sz w:val="21"/>
                            <w:szCs w:val="21"/>
                            <w:u w:color="000000"/>
                          </w:rPr>
                          <w:t>391.43</w:t>
                        </w:r>
                      </w:p>
                    </w:tc>
                    <w:tc>
                      <w:tcPr>
                        <w:tcW w:w="1092" w:type="dxa"/>
                        <w:gridSpan w:val="2"/>
                        <w:tcBorders>
                          <w:top w:val="single" w:sz="4" w:space="0" w:color="auto"/>
                          <w:left w:val="nil"/>
                          <w:right w:val="nil"/>
                        </w:tcBorders>
                        <w:shd w:val="clear" w:color="auto" w:fill="auto"/>
                        <w:noWrap/>
                        <w:vAlign w:val="center"/>
                        <w:hideMark/>
                      </w:tcPr>
                      <w:p w:rsidR="0066042D" w:rsidRPr="00B323A5" w:rsidRDefault="0066042D" w:rsidP="00613B31">
                        <w:pPr>
                          <w:spacing w:after="0"/>
                          <w:jc w:val="center"/>
                          <w:rPr>
                            <w:rFonts w:eastAsia="Arial Unicode MS"/>
                            <w:color w:val="000000"/>
                            <w:sz w:val="21"/>
                            <w:szCs w:val="21"/>
                            <w:u w:color="000000"/>
                          </w:rPr>
                        </w:pPr>
                        <w:r w:rsidRPr="001A48BD">
                          <w:rPr>
                            <w:rFonts w:eastAsia="Arial Unicode MS"/>
                            <w:color w:val="000000"/>
                            <w:sz w:val="21"/>
                            <w:szCs w:val="21"/>
                            <w:u w:color="000000"/>
                          </w:rPr>
                          <w:t>36</w:t>
                        </w:r>
                        <w:r>
                          <w:rPr>
                            <w:rFonts w:eastAsia="Arial Unicode MS"/>
                            <w:color w:val="000000"/>
                            <w:sz w:val="21"/>
                            <w:szCs w:val="21"/>
                            <w:u w:color="000000"/>
                          </w:rPr>
                          <w:t xml:space="preserve"> </w:t>
                        </w:r>
                        <w:r w:rsidRPr="001A48BD">
                          <w:rPr>
                            <w:rFonts w:eastAsia="Arial Unicode MS"/>
                            <w:color w:val="000000"/>
                            <w:sz w:val="21"/>
                            <w:szCs w:val="21"/>
                            <w:u w:color="000000"/>
                          </w:rPr>
                          <w:t>311.39</w:t>
                        </w:r>
                      </w:p>
                    </w:tc>
                  </w:tr>
                  <w:tr w:rsidR="0066042D" w:rsidRPr="00C3021C" w:rsidTr="00613B31">
                    <w:trPr>
                      <w:trHeight w:val="422"/>
                    </w:trPr>
                    <w:tc>
                      <w:tcPr>
                        <w:tcW w:w="3122" w:type="dxa"/>
                        <w:tcBorders>
                          <w:top w:val="nil"/>
                          <w:left w:val="nil"/>
                          <w:bottom w:val="single" w:sz="4" w:space="0" w:color="auto"/>
                          <w:right w:val="nil"/>
                        </w:tcBorders>
                        <w:shd w:val="clear" w:color="auto" w:fill="auto"/>
                        <w:noWrap/>
                        <w:vAlign w:val="center"/>
                        <w:hideMark/>
                      </w:tcPr>
                      <w:p w:rsidR="0066042D" w:rsidRPr="0004494D" w:rsidRDefault="0066042D" w:rsidP="00613B31">
                        <w:pPr>
                          <w:spacing w:after="0"/>
                          <w:rPr>
                            <w:rFonts w:eastAsia="Arial Unicode MS"/>
                            <w:color w:val="000000"/>
                            <w:u w:color="000000"/>
                          </w:rPr>
                        </w:pPr>
                        <w:r w:rsidRPr="0004494D">
                          <w:rPr>
                            <w:rFonts w:eastAsia="Arial Unicode MS"/>
                            <w:color w:val="000000"/>
                            <w:u w:color="000000"/>
                          </w:rPr>
                          <w:t xml:space="preserve">Ratio </w:t>
                        </w:r>
                      </w:p>
                    </w:tc>
                    <w:tc>
                      <w:tcPr>
                        <w:tcW w:w="1246" w:type="dxa"/>
                        <w:tcBorders>
                          <w:top w:val="nil"/>
                          <w:left w:val="nil"/>
                          <w:bottom w:val="single" w:sz="4" w:space="0" w:color="auto"/>
                          <w:right w:val="nil"/>
                        </w:tcBorders>
                        <w:shd w:val="clear" w:color="auto" w:fill="auto"/>
                        <w:noWrap/>
                        <w:vAlign w:val="center"/>
                        <w:hideMark/>
                      </w:tcPr>
                      <w:p w:rsidR="0066042D" w:rsidRPr="00A06A6E" w:rsidRDefault="0066042D" w:rsidP="00613B31">
                        <w:pPr>
                          <w:spacing w:after="0"/>
                          <w:jc w:val="center"/>
                          <w:rPr>
                            <w:rFonts w:eastAsia="Arial Unicode MS"/>
                            <w:b/>
                            <w:color w:val="000000"/>
                            <w:sz w:val="21"/>
                            <w:szCs w:val="21"/>
                            <w:u w:color="000000"/>
                          </w:rPr>
                        </w:pPr>
                        <w:r>
                          <w:rPr>
                            <w:rFonts w:eastAsia="Arial Unicode MS"/>
                            <w:b/>
                            <w:color w:val="000000"/>
                            <w:sz w:val="21"/>
                            <w:szCs w:val="21"/>
                            <w:u w:color="000000"/>
                          </w:rPr>
                          <w:t>3.53</w:t>
                        </w:r>
                      </w:p>
                    </w:tc>
                    <w:tc>
                      <w:tcPr>
                        <w:tcW w:w="1218" w:type="dxa"/>
                        <w:tcBorders>
                          <w:top w:val="nil"/>
                          <w:left w:val="nil"/>
                          <w:bottom w:val="single" w:sz="4" w:space="0" w:color="auto"/>
                          <w:right w:val="nil"/>
                        </w:tcBorders>
                        <w:shd w:val="clear" w:color="auto" w:fill="auto"/>
                        <w:noWrap/>
                        <w:vAlign w:val="center"/>
                        <w:hideMark/>
                      </w:tcPr>
                      <w:p w:rsidR="0066042D" w:rsidRPr="00B323A5" w:rsidRDefault="0066042D" w:rsidP="00613B31">
                        <w:pPr>
                          <w:spacing w:after="0"/>
                          <w:jc w:val="center"/>
                          <w:rPr>
                            <w:rFonts w:eastAsia="Arial Unicode MS"/>
                            <w:color w:val="000000"/>
                            <w:sz w:val="21"/>
                            <w:szCs w:val="21"/>
                            <w:u w:color="000000"/>
                          </w:rPr>
                        </w:pPr>
                        <w:r>
                          <w:rPr>
                            <w:rFonts w:eastAsia="Arial Unicode MS"/>
                            <w:color w:val="000000"/>
                            <w:sz w:val="21"/>
                            <w:szCs w:val="21"/>
                            <w:u w:color="000000"/>
                          </w:rPr>
                          <w:t>1.29</w:t>
                        </w:r>
                      </w:p>
                    </w:tc>
                    <w:tc>
                      <w:tcPr>
                        <w:tcW w:w="1231" w:type="dxa"/>
                        <w:tcBorders>
                          <w:top w:val="nil"/>
                          <w:left w:val="nil"/>
                          <w:bottom w:val="single" w:sz="4" w:space="0" w:color="auto"/>
                          <w:right w:val="nil"/>
                        </w:tcBorders>
                        <w:shd w:val="clear" w:color="auto" w:fill="auto"/>
                        <w:noWrap/>
                        <w:vAlign w:val="center"/>
                        <w:hideMark/>
                      </w:tcPr>
                      <w:p w:rsidR="0066042D" w:rsidRPr="00B323A5" w:rsidRDefault="0066042D" w:rsidP="00613B31">
                        <w:pPr>
                          <w:spacing w:after="0"/>
                          <w:jc w:val="center"/>
                          <w:rPr>
                            <w:rFonts w:eastAsia="Arial Unicode MS"/>
                            <w:color w:val="000000"/>
                            <w:sz w:val="21"/>
                            <w:szCs w:val="21"/>
                            <w:u w:color="000000"/>
                          </w:rPr>
                        </w:pPr>
                        <w:r>
                          <w:rPr>
                            <w:rFonts w:eastAsia="Arial Unicode MS"/>
                            <w:color w:val="000000"/>
                            <w:sz w:val="21"/>
                            <w:szCs w:val="21"/>
                            <w:u w:color="000000"/>
                          </w:rPr>
                          <w:t>1.14</w:t>
                        </w:r>
                      </w:p>
                    </w:tc>
                    <w:tc>
                      <w:tcPr>
                        <w:tcW w:w="1092" w:type="dxa"/>
                        <w:gridSpan w:val="2"/>
                        <w:tcBorders>
                          <w:top w:val="nil"/>
                          <w:left w:val="nil"/>
                          <w:bottom w:val="single" w:sz="4" w:space="0" w:color="auto"/>
                          <w:right w:val="nil"/>
                        </w:tcBorders>
                        <w:shd w:val="clear" w:color="auto" w:fill="auto"/>
                        <w:noWrap/>
                        <w:vAlign w:val="bottom"/>
                        <w:hideMark/>
                      </w:tcPr>
                      <w:p w:rsidR="0066042D" w:rsidRPr="00B323A5" w:rsidRDefault="0066042D" w:rsidP="00613B31">
                        <w:pPr>
                          <w:spacing w:after="0"/>
                          <w:jc w:val="center"/>
                          <w:rPr>
                            <w:rFonts w:eastAsia="Arial Unicode MS"/>
                            <w:color w:val="000000"/>
                            <w:sz w:val="21"/>
                            <w:szCs w:val="21"/>
                            <w:u w:color="000000"/>
                          </w:rPr>
                        </w:pPr>
                      </w:p>
                    </w:tc>
                  </w:tr>
                </w:tbl>
                <w:p w:rsidR="0066042D" w:rsidRPr="008C006D" w:rsidRDefault="0066042D" w:rsidP="007B57B1">
                  <w:pPr>
                    <w:spacing w:before="60" w:after="0"/>
                    <w:rPr>
                      <w:sz w:val="20"/>
                      <w:szCs w:val="20"/>
                    </w:rPr>
                  </w:pPr>
                  <w:r w:rsidRPr="008C006D">
                    <w:rPr>
                      <w:sz w:val="20"/>
                      <w:szCs w:val="20"/>
                    </w:rPr>
                    <w:t xml:space="preserve"> </w:t>
                  </w:r>
                  <w:r w:rsidRPr="008C006D">
                    <w:rPr>
                      <w:i/>
                      <w:sz w:val="20"/>
                      <w:szCs w:val="20"/>
                    </w:rPr>
                    <w:t>Notes:</w:t>
                  </w:r>
                  <w:r w:rsidRPr="008C006D">
                    <w:rPr>
                      <w:sz w:val="20"/>
                      <w:szCs w:val="20"/>
                    </w:rPr>
                    <w:t xml:space="preserve"> </w:t>
                  </w:r>
                  <w:r w:rsidRPr="008C006D">
                    <w:rPr>
                      <w:i/>
                      <w:sz w:val="20"/>
                      <w:szCs w:val="20"/>
                    </w:rPr>
                    <w:t>p</w:t>
                  </w:r>
                  <w:r>
                    <w:rPr>
                      <w:i/>
                      <w:sz w:val="20"/>
                      <w:szCs w:val="20"/>
                    </w:rPr>
                    <w:t xml:space="preserve"> </w:t>
                  </w:r>
                  <w:r w:rsidRPr="008C006D">
                    <w:rPr>
                      <w:sz w:val="20"/>
                      <w:szCs w:val="20"/>
                    </w:rPr>
                    <w:t>&lt;</w:t>
                  </w:r>
                  <w:r>
                    <w:rPr>
                      <w:sz w:val="20"/>
                      <w:szCs w:val="20"/>
                    </w:rPr>
                    <w:t xml:space="preserve"> 0</w:t>
                  </w:r>
                  <w:r w:rsidRPr="008C006D">
                    <w:rPr>
                      <w:sz w:val="20"/>
                      <w:szCs w:val="20"/>
                    </w:rPr>
                    <w:t>.01 for</w:t>
                  </w:r>
                  <w:r>
                    <w:rPr>
                      <w:sz w:val="20"/>
                      <w:szCs w:val="20"/>
                    </w:rPr>
                    <w:t xml:space="preserve"> all</w:t>
                  </w:r>
                  <w:r w:rsidRPr="008C006D">
                    <w:rPr>
                      <w:sz w:val="20"/>
                      <w:szCs w:val="20"/>
                    </w:rPr>
                    <w:t xml:space="preserve"> t-test</w:t>
                  </w:r>
                  <w:r>
                    <w:rPr>
                      <w:sz w:val="20"/>
                      <w:szCs w:val="20"/>
                    </w:rPr>
                    <w:t>s</w:t>
                  </w:r>
                  <w:r w:rsidRPr="008C006D">
                    <w:rPr>
                      <w:sz w:val="20"/>
                      <w:szCs w:val="20"/>
                    </w:rPr>
                    <w:t xml:space="preserve"> of difference</w:t>
                  </w:r>
                  <w:r>
                    <w:rPr>
                      <w:sz w:val="20"/>
                      <w:szCs w:val="20"/>
                    </w:rPr>
                    <w:t>s</w:t>
                  </w:r>
                  <w:r w:rsidRPr="008C006D">
                    <w:rPr>
                      <w:sz w:val="20"/>
                      <w:szCs w:val="20"/>
                    </w:rPr>
                    <w:t xml:space="preserve"> between average</w:t>
                  </w:r>
                  <w:r>
                    <w:rPr>
                      <w:sz w:val="20"/>
                      <w:szCs w:val="20"/>
                    </w:rPr>
                    <w:t xml:space="preserve"> costs</w:t>
                  </w:r>
                  <w:r w:rsidRPr="008C006D">
                    <w:rPr>
                      <w:sz w:val="20"/>
                      <w:szCs w:val="20"/>
                    </w:rPr>
                    <w:t xml:space="preserve"> of successive years</w:t>
                  </w:r>
                  <w:r>
                    <w:rPr>
                      <w:sz w:val="20"/>
                      <w:szCs w:val="20"/>
                    </w:rPr>
                    <w:t xml:space="preserve"> before death</w:t>
                  </w:r>
                </w:p>
                <w:p w:rsidR="0066042D" w:rsidRDefault="0066042D" w:rsidP="007B57B1"/>
              </w:txbxContent>
            </v:textbox>
            <w10:wrap type="through"/>
          </v:shape>
        </w:pict>
      </w:r>
    </w:p>
    <w:p w:rsidR="007B57B1" w:rsidRDefault="007B57B1" w:rsidP="00AD0700">
      <w:pPr>
        <w:jc w:val="both"/>
        <w:rPr>
          <w:spacing w:val="-3"/>
        </w:rPr>
      </w:pPr>
      <w:r w:rsidRPr="00150FA7">
        <w:rPr>
          <w:spacing w:val="-3"/>
        </w:rPr>
        <w:t xml:space="preserve">This result is further </w:t>
      </w:r>
      <w:r w:rsidRPr="00150FA7">
        <w:t xml:space="preserve">emphasised by considering the ratio between average costs in successive years </w:t>
      </w:r>
      <w:r w:rsidRPr="00150FA7">
        <w:rPr>
          <w:spacing w:val="-2"/>
        </w:rPr>
        <w:t>prior to death. The average cost in the last year of life is 3.5</w:t>
      </w:r>
      <w:r w:rsidR="007C7EB2">
        <w:rPr>
          <w:spacing w:val="-2"/>
        </w:rPr>
        <w:t>3</w:t>
      </w:r>
      <w:r w:rsidRPr="00150FA7">
        <w:rPr>
          <w:spacing w:val="-2"/>
        </w:rPr>
        <w:t xml:space="preserve"> times higher than the </w:t>
      </w:r>
      <w:r w:rsidRPr="00150FA7">
        <w:t>average cost in the second year prior to death. It is also observed that there is little difference between the average costs in the second, third and fo</w:t>
      </w:r>
      <w:r>
        <w:t>u</w:t>
      </w:r>
      <w:r w:rsidRPr="00150FA7">
        <w:t xml:space="preserve">rth </w:t>
      </w:r>
      <w:r w:rsidRPr="00150FA7">
        <w:rPr>
          <w:spacing w:val="-3"/>
        </w:rPr>
        <w:t xml:space="preserve">years prior to death. These average costs and ratios clearly portray the sudden and </w:t>
      </w:r>
      <w:r w:rsidRPr="00150FA7">
        <w:t>substantial jump in healthcare expenditure incurred by medical schemes in</w:t>
      </w:r>
      <w:r>
        <w:t xml:space="preserve"> </w:t>
      </w:r>
      <w:r>
        <w:rPr>
          <w:spacing w:val="-3"/>
        </w:rPr>
        <w:t xml:space="preserve">the </w:t>
      </w:r>
      <w:r w:rsidRPr="00150FA7">
        <w:rPr>
          <w:spacing w:val="-3"/>
        </w:rPr>
        <w:t xml:space="preserve">last year of life. </w:t>
      </w:r>
    </w:p>
    <w:p w:rsidR="007B57B1" w:rsidRDefault="007B57B1" w:rsidP="00AD0700">
      <w:pPr>
        <w:jc w:val="both"/>
      </w:pPr>
      <w:r>
        <w:t>T</w:t>
      </w:r>
      <w:r w:rsidRPr="00150FA7">
        <w:t xml:space="preserve">he above analysis is examined in more detail by considering the costs in the last year of life according to age at death, category of expenditure and RUB value. </w:t>
      </w:r>
    </w:p>
    <w:p w:rsidR="007B57B1" w:rsidRPr="00F26530" w:rsidRDefault="00625779" w:rsidP="007B57B1">
      <w:pPr>
        <w:rPr>
          <w:caps/>
        </w:rPr>
      </w:pPr>
      <w:r>
        <w:rPr>
          <w:caps/>
        </w:rPr>
        <w:t>6</w:t>
      </w:r>
      <w:r w:rsidR="007B57B1" w:rsidRPr="00F26530">
        <w:rPr>
          <w:caps/>
        </w:rPr>
        <w:t xml:space="preserve">.1.1 Analysis of Average Costs in the Last Year of Life According to Age at Death </w:t>
      </w:r>
    </w:p>
    <w:p w:rsidR="007B57B1" w:rsidRDefault="007B57B1" w:rsidP="00D9768A">
      <w:pPr>
        <w:jc w:val="both"/>
      </w:pPr>
      <w:r w:rsidRPr="00150FA7">
        <w:t xml:space="preserve">This analysis considers the distribution of average </w:t>
      </w:r>
      <w:r>
        <w:t xml:space="preserve">claim amounts in the </w:t>
      </w:r>
      <w:r w:rsidRPr="00150FA7">
        <w:t xml:space="preserve">last year of life according </w:t>
      </w:r>
      <w:r w:rsidRPr="00150FA7">
        <w:rPr>
          <w:spacing w:val="-1"/>
        </w:rPr>
        <w:t>to</w:t>
      </w:r>
      <w:r>
        <w:rPr>
          <w:spacing w:val="-1"/>
        </w:rPr>
        <w:t xml:space="preserve"> </w:t>
      </w:r>
      <w:r w:rsidRPr="00150FA7">
        <w:rPr>
          <w:spacing w:val="-1"/>
        </w:rPr>
        <w:t>age</w:t>
      </w:r>
      <w:r>
        <w:rPr>
          <w:spacing w:val="-1"/>
        </w:rPr>
        <w:t xml:space="preserve"> </w:t>
      </w:r>
      <w:r w:rsidRPr="00150FA7">
        <w:rPr>
          <w:spacing w:val="-1"/>
        </w:rPr>
        <w:t>at</w:t>
      </w:r>
      <w:r>
        <w:rPr>
          <w:spacing w:val="-1"/>
        </w:rPr>
        <w:t xml:space="preserve"> </w:t>
      </w:r>
      <w:r w:rsidRPr="00150FA7">
        <w:rPr>
          <w:spacing w:val="-1"/>
        </w:rPr>
        <w:t xml:space="preserve">death </w:t>
      </w:r>
      <w:r w:rsidRPr="00150FA7">
        <w:t>(Figure 3).</w:t>
      </w:r>
    </w:p>
    <w:p w:rsidR="007B57B1" w:rsidRDefault="007B57B1" w:rsidP="007B57B1">
      <w:r>
        <w:rPr>
          <w:noProof/>
        </w:rPr>
        <w:lastRenderedPageBreak/>
        <w:drawing>
          <wp:inline distT="0" distB="0" distL="0" distR="0">
            <wp:extent cx="5210175" cy="2871787"/>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57B1" w:rsidRPr="000A0E24" w:rsidRDefault="007B57B1" w:rsidP="007B57B1">
      <w:pPr>
        <w:pStyle w:val="Caption"/>
      </w:pPr>
      <w:r w:rsidRPr="009A02BB">
        <w:t xml:space="preserve">Figure </w:t>
      </w:r>
      <w:fldSimple w:instr=" SEQ Figure \* ARABIC ">
        <w:r>
          <w:rPr>
            <w:noProof/>
          </w:rPr>
          <w:t>3</w:t>
        </w:r>
      </w:fldSimple>
      <w:r w:rsidRPr="009A02BB">
        <w:t xml:space="preserve">: </w:t>
      </w:r>
      <w:r>
        <w:t>Distribution of average last-year-of-l</w:t>
      </w:r>
      <w:r w:rsidRPr="000A0E24">
        <w:t xml:space="preserve">ife </w:t>
      </w:r>
      <w:r>
        <w:t>c</w:t>
      </w:r>
      <w:r w:rsidRPr="000A0E24">
        <w:t xml:space="preserve">osts according to </w:t>
      </w:r>
      <w:r>
        <w:t>a</w:t>
      </w:r>
      <w:r w:rsidR="00625779">
        <w:t xml:space="preserve">ge at </w:t>
      </w:r>
      <w:r>
        <w:t>d</w:t>
      </w:r>
      <w:r w:rsidRPr="000A0E24">
        <w:t xml:space="preserve">eath </w:t>
      </w:r>
      <w:r w:rsidR="007C7EB2">
        <w:t>(excl. neonatal costs)</w:t>
      </w:r>
    </w:p>
    <w:p w:rsidR="007B57B1" w:rsidRDefault="007B57B1" w:rsidP="00AD0700">
      <w:pPr>
        <w:jc w:val="both"/>
      </w:pPr>
      <w:r>
        <w:rPr>
          <w:w w:val="102"/>
        </w:rPr>
        <w:t>Average last-year-of-</w:t>
      </w:r>
      <w:r w:rsidRPr="00150FA7">
        <w:rPr>
          <w:w w:val="102"/>
        </w:rPr>
        <w:t>life costs</w:t>
      </w:r>
      <w:r>
        <w:rPr>
          <w:w w:val="102"/>
        </w:rPr>
        <w:t xml:space="preserve"> for neonates are significantly higher than other age bands (R744</w:t>
      </w:r>
      <w:proofErr w:type="gramStart"/>
      <w:r>
        <w:rPr>
          <w:w w:val="102"/>
        </w:rPr>
        <w:t>,036</w:t>
      </w:r>
      <w:proofErr w:type="gramEnd"/>
      <w:r>
        <w:rPr>
          <w:w w:val="102"/>
        </w:rPr>
        <w:t xml:space="preserve"> as compared to the overall average of R188,276). They have been omitted from Figure 3 to enable us to observe differences between other age bands. </w:t>
      </w:r>
      <w:r w:rsidRPr="00150FA7">
        <w:rPr>
          <w:w w:val="109"/>
        </w:rPr>
        <w:t xml:space="preserve">One of </w:t>
      </w:r>
      <w:r>
        <w:rPr>
          <w:w w:val="109"/>
        </w:rPr>
        <w:t xml:space="preserve">the explanations to why average </w:t>
      </w:r>
      <w:r w:rsidRPr="00150FA7">
        <w:rPr>
          <w:w w:val="109"/>
        </w:rPr>
        <w:t xml:space="preserve">neonatal costs are so high </w:t>
      </w:r>
      <w:r>
        <w:rPr>
          <w:w w:val="109"/>
        </w:rPr>
        <w:t xml:space="preserve">is </w:t>
      </w:r>
      <w:r w:rsidRPr="00150FA7">
        <w:rPr>
          <w:w w:val="109"/>
        </w:rPr>
        <w:t xml:space="preserve">the </w:t>
      </w:r>
      <w:r w:rsidRPr="00150FA7">
        <w:rPr>
          <w:spacing w:val="-2"/>
        </w:rPr>
        <w:t>complicated</w:t>
      </w:r>
      <w:r>
        <w:rPr>
          <w:spacing w:val="-2"/>
        </w:rPr>
        <w:t xml:space="preserve"> </w:t>
      </w:r>
      <w:r w:rsidRPr="00150FA7">
        <w:rPr>
          <w:spacing w:val="-2"/>
        </w:rPr>
        <w:t>ethical</w:t>
      </w:r>
      <w:r>
        <w:rPr>
          <w:spacing w:val="-2"/>
        </w:rPr>
        <w:t xml:space="preserve"> </w:t>
      </w:r>
      <w:r w:rsidRPr="00150FA7">
        <w:rPr>
          <w:spacing w:val="-2"/>
        </w:rPr>
        <w:t>issues</w:t>
      </w:r>
      <w:r>
        <w:rPr>
          <w:spacing w:val="-2"/>
        </w:rPr>
        <w:t xml:space="preserve"> </w:t>
      </w:r>
      <w:r w:rsidRPr="00150FA7">
        <w:rPr>
          <w:spacing w:val="-2"/>
        </w:rPr>
        <w:t>surrounding</w:t>
      </w:r>
      <w:r>
        <w:rPr>
          <w:spacing w:val="-2"/>
        </w:rPr>
        <w:t xml:space="preserve"> </w:t>
      </w:r>
      <w:r w:rsidRPr="00150FA7">
        <w:rPr>
          <w:spacing w:val="-2"/>
        </w:rPr>
        <w:t>neonatal</w:t>
      </w:r>
      <w:r>
        <w:rPr>
          <w:spacing w:val="-2"/>
        </w:rPr>
        <w:t xml:space="preserve"> </w:t>
      </w:r>
      <w:r w:rsidRPr="00150FA7">
        <w:rPr>
          <w:spacing w:val="-2"/>
        </w:rPr>
        <w:t>healthcare.</w:t>
      </w:r>
      <w:r>
        <w:rPr>
          <w:spacing w:val="-2"/>
        </w:rPr>
        <w:t xml:space="preserve"> </w:t>
      </w:r>
      <w:r w:rsidRPr="00150FA7">
        <w:rPr>
          <w:spacing w:val="-2"/>
        </w:rPr>
        <w:t>Often</w:t>
      </w:r>
      <w:r>
        <w:rPr>
          <w:spacing w:val="-2"/>
        </w:rPr>
        <w:t xml:space="preserve"> </w:t>
      </w:r>
      <w:r w:rsidRPr="00150FA7">
        <w:rPr>
          <w:spacing w:val="-2"/>
        </w:rPr>
        <w:t>expensive treatments are performed on unhealthy babies that have extremely low chance of</w:t>
      </w:r>
      <w:r>
        <w:rPr>
          <w:spacing w:val="-2"/>
        </w:rPr>
        <w:t xml:space="preserve"> </w:t>
      </w:r>
      <w:r>
        <w:t xml:space="preserve">survival </w:t>
      </w:r>
      <w:r w:rsidR="009040E7">
        <w:fldChar w:fldCharType="begin"/>
      </w:r>
      <w:r>
        <w:instrText xml:space="preserve"> ADDIN EN.CITE &lt;EndNote&gt;&lt;Cite&gt;&lt;Author&gt;Xiang&lt;/Author&gt;&lt;Year&gt;2012&lt;/Year&gt;&lt;RecNum&gt;36&lt;/RecNum&gt;&lt;DisplayText&gt;(Xiang, 2012)&lt;/DisplayText&gt;&lt;record&gt;&lt;rec-number&gt;36&lt;/rec-number&gt;&lt;foreign-keys&gt;&lt;key app="EN" db-id="x2dxrtfwlt0dd3erpz9va5vq5p5xret9aw5d"&gt;36&lt;/key&gt;&lt;/foreign-keys&gt;&lt;ref-type name="Journal Article"&gt;17&lt;/ref-type&gt;&lt;contributors&gt;&lt;authors&gt;&lt;author&gt;Xiang, N. &lt;/author&gt;&lt;/authors&gt;&lt;/contributors&gt;&lt;titles&gt;&lt;title&gt;Neonates – are they worth saving?&lt;/title&gt;&lt;secondary-title&gt;Cambridge Medicine Journal&lt;/secondary-title&gt;&lt;/titles&gt;&lt;periodical&gt;&lt;full-title&gt;Cambridge Medicine Journal&lt;/full-title&gt;&lt;/periodical&gt;&lt;dates&gt;&lt;year&gt;2012&lt;/year&gt;&lt;/dates&gt;&lt;urls&gt;&lt;related-urls&gt;&lt;url&gt;Available at http://www.cambridgemedicine.org/article/1336559763 &lt;/url&gt;&lt;/related-urls&gt;&lt;/urls&gt;&lt;/record&gt;&lt;/Cite&gt;&lt;/EndNote&gt;</w:instrText>
      </w:r>
      <w:r w:rsidR="009040E7">
        <w:fldChar w:fldCharType="separate"/>
      </w:r>
      <w:r>
        <w:rPr>
          <w:noProof/>
        </w:rPr>
        <w:t>(</w:t>
      </w:r>
      <w:hyperlink w:anchor="_ENREF_23" w:tooltip="Xiang, 2012 #36" w:history="1">
        <w:r>
          <w:rPr>
            <w:noProof/>
          </w:rPr>
          <w:t>Xiang, 2012</w:t>
        </w:r>
      </w:hyperlink>
      <w:r>
        <w:rPr>
          <w:noProof/>
        </w:rPr>
        <w:t>)</w:t>
      </w:r>
      <w:r w:rsidR="009040E7">
        <w:fldChar w:fldCharType="end"/>
      </w:r>
      <w:r>
        <w:t xml:space="preserve">. At the same time these new-borns contribute very little exposure as they often may die within a few months of being born. If the study was conducted over the last six months of life, the differences between average costs for neonates and the overall average may be less as this may account better for the very low exposure of neonates. </w:t>
      </w:r>
    </w:p>
    <w:p w:rsidR="007B57B1" w:rsidRDefault="007B57B1" w:rsidP="00AD0700">
      <w:pPr>
        <w:jc w:val="both"/>
        <w:rPr>
          <w:w w:val="104"/>
        </w:rPr>
      </w:pPr>
      <w:r>
        <w:t xml:space="preserve">The </w:t>
      </w:r>
      <w:r>
        <w:rPr>
          <w:spacing w:val="-3"/>
        </w:rPr>
        <w:t>key feature visible in the distribution is the relatively low level of the average last-</w:t>
      </w:r>
      <w:r>
        <w:rPr>
          <w:w w:val="103"/>
        </w:rPr>
        <w:t xml:space="preserve">year-of-life costs for beneficiaries in the 6-10 year old age category through to </w:t>
      </w:r>
      <w:r>
        <w:rPr>
          <w:spacing w:val="-1"/>
        </w:rPr>
        <w:t>beneficiaries in their mid-</w:t>
      </w:r>
      <w:r>
        <w:rPr>
          <w:spacing w:val="-3"/>
        </w:rPr>
        <w:t>20’s</w:t>
      </w:r>
      <w:r>
        <w:t xml:space="preserve">. This is possibly because more beneficiaries in this age range die from sudden events as opposed to prolonged </w:t>
      </w:r>
      <w:r>
        <w:rPr>
          <w:w w:val="103"/>
        </w:rPr>
        <w:t xml:space="preserve">illness. Therefore, these beneficiaries would not incur substantial additional </w:t>
      </w:r>
      <w:r>
        <w:t xml:space="preserve">medical expenditure before their death. The distribution also illustrates that the average costs increase incrementally by age category until around </w:t>
      </w:r>
      <w:r>
        <w:rPr>
          <w:spacing w:val="-1"/>
        </w:rPr>
        <w:t xml:space="preserve">70 and </w:t>
      </w:r>
      <w:r>
        <w:rPr>
          <w:w w:val="104"/>
        </w:rPr>
        <w:t xml:space="preserve">thereafter rapidly diminish. This is consistent with many Medicare studies </w:t>
      </w:r>
      <w:r w:rsidR="009040E7">
        <w:rPr>
          <w:w w:val="104"/>
        </w:rPr>
        <w:fldChar w:fldCharType="begin">
          <w:fldData xml:space="preserve">PEVuZE5vdGU+PENpdGU+PEF1dGhvcj5TY2l0b3Zza3k8L0F1dGhvcj48WWVhcj4yMDA1PC9ZZWFy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</w:fldData>
        </w:fldChar>
      </w:r>
      <w:r>
        <w:rPr>
          <w:w w:val="104"/>
        </w:rPr>
        <w:instrText xml:space="preserve"> ADDIN EN.CITE </w:instrText>
      </w:r>
      <w:r w:rsidR="009040E7">
        <w:rPr>
          <w:w w:val="104"/>
        </w:rPr>
        <w:fldChar w:fldCharType="begin">
          <w:fldData xml:space="preserve">PEVuZE5vdGU+PENpdGU+PEF1dGhvcj5TY2l0b3Zza3k8L0F1dGhvcj48WWVhcj4yMDA1PC9ZZWFy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</w:fldData>
        </w:fldChar>
      </w:r>
      <w:r>
        <w:rPr>
          <w:w w:val="104"/>
        </w:rPr>
        <w:instrText xml:space="preserve"> ADDIN EN.CITE.DATA </w:instrText>
      </w:r>
      <w:r w:rsidR="009040E7">
        <w:rPr>
          <w:w w:val="104"/>
        </w:rPr>
      </w:r>
      <w:r w:rsidR="009040E7">
        <w:rPr>
          <w:w w:val="104"/>
        </w:rPr>
        <w:fldChar w:fldCharType="end"/>
      </w:r>
      <w:r w:rsidR="009040E7">
        <w:rPr>
          <w:w w:val="104"/>
        </w:rPr>
      </w:r>
      <w:r w:rsidR="009040E7">
        <w:rPr>
          <w:w w:val="104"/>
        </w:rPr>
        <w:fldChar w:fldCharType="separate"/>
      </w:r>
      <w:r>
        <w:rPr>
          <w:noProof/>
          <w:w w:val="104"/>
        </w:rPr>
        <w:t>(</w:t>
      </w:r>
      <w:hyperlink w:anchor="_ENREF_1" w:tooltip="Alemayehu, 2004 #6" w:history="1">
        <w:r>
          <w:rPr>
            <w:noProof/>
            <w:w w:val="104"/>
          </w:rPr>
          <w:t>Alemayehu &amp; Warner, 2004</w:t>
        </w:r>
      </w:hyperlink>
      <w:proofErr w:type="gramStart"/>
      <w:r>
        <w:rPr>
          <w:noProof/>
          <w:w w:val="104"/>
        </w:rPr>
        <w:t xml:space="preserve">; </w:t>
      </w:r>
      <w:hyperlink w:anchor="_ENREF_3" w:tooltip="Calfo, 2008 #8" w:history="1">
        <w:r>
          <w:rPr>
            <w:noProof/>
            <w:w w:val="104"/>
          </w:rPr>
          <w:t>Calfo et al., 2008</w:t>
        </w:r>
      </w:hyperlink>
      <w:r>
        <w:rPr>
          <w:noProof/>
          <w:w w:val="104"/>
        </w:rPr>
        <w:t xml:space="preserve">; </w:t>
      </w:r>
      <w:hyperlink w:anchor="_ENREF_12" w:tooltip="Lubitz, 1993 #17" w:history="1">
        <w:r>
          <w:rPr>
            <w:noProof/>
            <w:w w:val="104"/>
          </w:rPr>
          <w:t>Lubitz &amp; Riley, 1993</w:t>
        </w:r>
      </w:hyperlink>
      <w:r>
        <w:rPr>
          <w:noProof/>
          <w:w w:val="104"/>
        </w:rPr>
        <w:t>;</w:t>
      </w:r>
      <w:proofErr w:type="gramEnd"/>
      <w:r>
        <w:rPr>
          <w:noProof/>
          <w:w w:val="104"/>
        </w:rPr>
        <w:t xml:space="preserve"> </w:t>
      </w:r>
      <w:hyperlink w:anchor="_ENREF_19" w:tooltip="Scitovsky, 2005 #31" w:history="1">
        <w:r>
          <w:rPr>
            <w:noProof/>
            <w:w w:val="104"/>
          </w:rPr>
          <w:t>Scitovsky, 2005</w:t>
        </w:r>
      </w:hyperlink>
      <w:r>
        <w:rPr>
          <w:noProof/>
          <w:w w:val="104"/>
        </w:rPr>
        <w:t>)</w:t>
      </w:r>
      <w:r w:rsidR="009040E7">
        <w:rPr>
          <w:w w:val="104"/>
        </w:rPr>
        <w:fldChar w:fldCharType="end"/>
      </w:r>
      <w:r>
        <w:rPr>
          <w:w w:val="104"/>
        </w:rPr>
        <w:t xml:space="preserve">. </w:t>
      </w:r>
    </w:p>
    <w:p w:rsidR="007B57B1" w:rsidRPr="00124C3C" w:rsidRDefault="009040E7" w:rsidP="00AD0700">
      <w:pPr>
        <w:jc w:val="both"/>
        <w:rPr>
          <w:w w:val="104"/>
        </w:rPr>
      </w:pPr>
      <w:r>
        <w:rPr>
          <w:w w:val="104"/>
        </w:rPr>
        <w:fldChar w:fldCharType="begin"/>
      </w:r>
      <w:r w:rsidR="007B57B1">
        <w:rPr>
          <w:w w:val="104"/>
        </w:rPr>
        <w:instrText xml:space="preserve"> ADDIN EN.CITE &lt;EndNote&gt;&lt;Cite AuthorYear="1"&gt;&lt;Author&gt;Scitovsky&lt;/Author&gt;&lt;Year&gt;2005&lt;/Year&gt;&lt;RecNum&gt;31&lt;/RecNum&gt;&lt;DisplayText&gt;Scitovsky (2005)&lt;/DisplayText&gt;&lt;record&gt;&lt;rec-number&gt;31&lt;/rec-number&gt;&lt;foreign-keys&gt;&lt;key app="EN" db-id="x2dxrtfwlt0dd3erpz9va5vq5p5xret9aw5d"&gt;31&lt;/key&gt;&lt;/foreign-keys&gt;&lt;ref-type name="Journal Article"&gt;17&lt;/ref-type&gt;&lt;contributors&gt;&lt;authors&gt;&lt;author&gt;Scitovsky, A.A.&lt;/author&gt;&lt;/authors&gt;&lt;/contributors&gt;&lt;titles&gt;&lt;title&gt;The high cost of dying: What do the data show? &lt;/title&gt;&lt;secondary-title&gt;Milbank Quarterly &lt;/secondary-title&gt;&lt;/titles&gt;&lt;periodical&gt;&lt;full-title&gt;Milbank Quarterly&lt;/full-title&gt;&lt;/periodical&gt;&lt;pages&gt;825-41&lt;/pages&gt;&lt;volume&gt;&lt;style face="normal" font="default" size="100%"&gt;83&lt;/style&gt;&lt;style face="normal" font="default" charset="134" size="100%"&gt; &lt;/style&gt;&lt;/volume&gt;&lt;number&gt;4 &lt;/number&gt;&lt;dates&gt;&lt;year&gt;2005&lt;/year&gt;&lt;/dates&gt;&lt;urls&gt;&lt;/urls&gt;&lt;/record&gt;&lt;/Cite&gt;&lt;/EndNote&gt;</w:instrText>
      </w:r>
      <w:r>
        <w:rPr>
          <w:w w:val="104"/>
        </w:rPr>
        <w:fldChar w:fldCharType="separate"/>
      </w:r>
      <w:hyperlink w:anchor="_ENREF_19" w:tooltip="Scitovsky, 2005 #31" w:history="1">
        <w:r w:rsidR="007B57B1">
          <w:rPr>
            <w:noProof/>
            <w:w w:val="104"/>
          </w:rPr>
          <w:t>Scitovsky (2005</w:t>
        </w:r>
      </w:hyperlink>
      <w:r w:rsidR="007B57B1">
        <w:rPr>
          <w:noProof/>
          <w:w w:val="104"/>
        </w:rPr>
        <w:t>)</w:t>
      </w:r>
      <w:r>
        <w:rPr>
          <w:w w:val="104"/>
        </w:rPr>
        <w:fldChar w:fldCharType="end"/>
      </w:r>
      <w:r w:rsidR="007B57B1">
        <w:rPr>
          <w:w w:val="104"/>
        </w:rPr>
        <w:t xml:space="preserve"> </w:t>
      </w:r>
      <w:r w:rsidR="007B57B1">
        <w:t xml:space="preserve">attributed this phenomenon to the exclusion of </w:t>
      </w:r>
      <w:r w:rsidR="007B57B1">
        <w:rPr>
          <w:spacing w:val="-2"/>
        </w:rPr>
        <w:t xml:space="preserve">certain categories of expenditure from studies that the elderly make considerable </w:t>
      </w:r>
      <w:r w:rsidR="007B57B1">
        <w:rPr>
          <w:spacing w:val="-4"/>
        </w:rPr>
        <w:t xml:space="preserve">use of. These expenditures are excluded because either they are not covered by the healthcare provider or insufficient data are available for their investigation. A </w:t>
      </w:r>
      <w:bookmarkStart w:id="7" w:name="Pg18"/>
      <w:bookmarkEnd w:id="7"/>
      <w:r w:rsidR="007B57B1">
        <w:rPr>
          <w:spacing w:val="-4"/>
        </w:rPr>
        <w:t>c</w:t>
      </w:r>
      <w:r w:rsidR="007B57B1">
        <w:t xml:space="preserve">ommon example of such expenditure is nursing home costs </w:t>
      </w:r>
      <w:r>
        <w:fldChar w:fldCharType="begin">
          <w:fldData xml:space="preserve">PEVuZE5vdGU+PENpdGU+PEF1dGhvcj5Ib292ZXI8L0F1dGhvcj48WWVhcj4yMDAyPC9ZZWFyPjxS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</w:fldData>
        </w:fldChar>
      </w:r>
      <w:r w:rsidR="007B57B1">
        <w:instrText xml:space="preserve"> ADDIN EN.CITE </w:instrText>
      </w:r>
      <w:r>
        <w:fldChar w:fldCharType="begin">
          <w:fldData xml:space="preserve">PEVuZE5vdGU+PENpdGU+PEF1dGhvcj5Ib292ZXI8L0F1dGhvcj48WWVhcj4yMDAyPC9ZZWFyPjxS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</w:fldData>
        </w:fldChar>
      </w:r>
      <w:r w:rsidR="007B57B1">
        <w:instrText xml:space="preserve"> ADDIN EN.CITE.DATA </w:instrText>
      </w:r>
      <w:r>
        <w:fldChar w:fldCharType="end"/>
      </w:r>
      <w:r>
        <w:fldChar w:fldCharType="separate"/>
      </w:r>
      <w:r w:rsidR="007B57B1">
        <w:rPr>
          <w:noProof/>
        </w:rPr>
        <w:t>(</w:t>
      </w:r>
      <w:hyperlink w:anchor="_ENREF_1" w:tooltip="Alemayehu, 2004 #6" w:history="1">
        <w:r w:rsidR="007B57B1">
          <w:rPr>
            <w:noProof/>
          </w:rPr>
          <w:t>Alemayehu &amp; Warner, 2004</w:t>
        </w:r>
      </w:hyperlink>
      <w:r w:rsidR="007B57B1">
        <w:rPr>
          <w:noProof/>
        </w:rPr>
        <w:t xml:space="preserve">; </w:t>
      </w:r>
      <w:hyperlink w:anchor="_ENREF_8" w:tooltip="Hogan, 2001 #13" w:history="1">
        <w:r w:rsidR="007B57B1">
          <w:rPr>
            <w:noProof/>
          </w:rPr>
          <w:t>Hogan et al., 2001</w:t>
        </w:r>
      </w:hyperlink>
      <w:r w:rsidR="007B57B1">
        <w:rPr>
          <w:noProof/>
        </w:rPr>
        <w:t xml:space="preserve">; </w:t>
      </w:r>
      <w:hyperlink w:anchor="_ENREF_9" w:tooltip="Hoover, 2002 #14" w:history="1">
        <w:r w:rsidR="007B57B1">
          <w:rPr>
            <w:noProof/>
          </w:rPr>
          <w:t>Hoover, Crytal, Kumar, Sambamoorthi &amp; Cantor, 2002</w:t>
        </w:r>
      </w:hyperlink>
      <w:r w:rsidR="007B57B1">
        <w:rPr>
          <w:noProof/>
        </w:rPr>
        <w:t xml:space="preserve">; </w:t>
      </w:r>
      <w:hyperlink w:anchor="_ENREF_17" w:tooltip="Roos, 1987 #22" w:history="1">
        <w:r w:rsidR="007B57B1">
          <w:rPr>
            <w:noProof/>
          </w:rPr>
          <w:t>Roos, Montgomery &amp; Roos, 1987</w:t>
        </w:r>
      </w:hyperlink>
      <w:r w:rsidR="007B57B1">
        <w:rPr>
          <w:noProof/>
        </w:rPr>
        <w:t xml:space="preserve">; </w:t>
      </w:r>
      <w:hyperlink w:anchor="_ENREF_19" w:tooltip="Scitovsky, 2005 #31" w:history="1">
        <w:r w:rsidR="007B57B1">
          <w:rPr>
            <w:noProof/>
          </w:rPr>
          <w:t>Scitovsky, 2005</w:t>
        </w:r>
      </w:hyperlink>
      <w:r w:rsidR="007B57B1">
        <w:rPr>
          <w:noProof/>
        </w:rPr>
        <w:t>)</w:t>
      </w:r>
      <w:r>
        <w:fldChar w:fldCharType="end"/>
      </w:r>
      <w:r w:rsidR="007B57B1">
        <w:t xml:space="preserve">. </w:t>
      </w:r>
      <w:r w:rsidR="007B57B1">
        <w:rPr>
          <w:w w:val="102"/>
        </w:rPr>
        <w:t>Another potential reason is the typical setting of death; elderly patients may chose to go into frail care rather than to a private hospital. F</w:t>
      </w:r>
      <w:r w:rsidR="007B57B1">
        <w:rPr>
          <w:w w:val="108"/>
        </w:rPr>
        <w:t xml:space="preserve">rail care and nursing are included as part of </w:t>
      </w:r>
      <w:r w:rsidR="007B57B1">
        <w:rPr>
          <w:w w:val="107"/>
        </w:rPr>
        <w:t xml:space="preserve">auxiliary benefits. However, the extent to which these expenditures are reimbursed </w:t>
      </w:r>
      <w:r w:rsidR="007B57B1">
        <w:rPr>
          <w:w w:val="102"/>
        </w:rPr>
        <w:t xml:space="preserve">is unknown. </w:t>
      </w:r>
      <w:r>
        <w:rPr>
          <w:w w:val="102"/>
        </w:rPr>
        <w:fldChar w:fldCharType="begin"/>
      </w:r>
      <w:r w:rsidR="007B57B1">
        <w:rPr>
          <w:w w:val="102"/>
        </w:rPr>
        <w:instrText xml:space="preserve"> ADDIN EN.CITE &lt;EndNote&gt;&lt;Cite AuthorYear="1"&gt;&lt;Author&gt;Levinsky&lt;/Author&gt;&lt;Year&gt;2001 &lt;/Year&gt;&lt;RecNum&gt;37&lt;/RecNum&gt;&lt;DisplayText&gt;Levinsky et al. (2001)&lt;/DisplayText&gt;&lt;record&gt;&lt;rec-number&gt;37&lt;/rec-number&gt;&lt;foreign-keys&gt;&lt;key app="EN" db-id="x2dxrtfwlt0dd3erpz9va5vq5p5xret9aw5d"&gt;37&lt;/key&gt;&lt;/foreign-keys&gt;&lt;ref-type name="Journal Article"&gt;17&lt;/ref-type&gt;&lt;contributors&gt;&lt;authors&gt;&lt;author&gt;Levinsky, N.G. &lt;/author&gt;&lt;author&gt;Yu, W. &lt;/author&gt;&lt;author&gt;Ash, A. &lt;/author&gt;&lt;author&gt;Moskowitz, M. &lt;/author&gt;&lt;author&gt;Gazelle, G. &lt;/author&gt;&lt;author&gt;Saynina, O. &lt;/author&gt;&lt;author&gt;Emanuel, E.J.&lt;/author&gt;&lt;/authors&gt;&lt;/contributors&gt;&lt;titles&gt;&lt;title&gt;Influence of age on Medicare expenditures and medical care in the last year of life.&lt;/title&gt;&lt;secondary-title&gt;Journal of the American Medical Association&lt;/secondary-title&gt;&lt;/titles&gt;&lt;periodical&gt;&lt;full-title&gt;Journal of the American Medical Association&lt;/full-title&gt;&lt;/periodical&gt;&lt;pages&gt;1349-55.&lt;/pages&gt;&lt;volume&gt;286&lt;/volume&gt;&lt;number&gt;11&lt;/number&gt;&lt;dates&gt;&lt;year&gt;2001&lt;/year&gt;&lt;/dates&gt;&lt;urls&gt;&lt;/urls&gt;&lt;/record&gt;&lt;/Cite&gt;&lt;/EndNote&gt;</w:instrText>
      </w:r>
      <w:r>
        <w:rPr>
          <w:w w:val="102"/>
        </w:rPr>
        <w:fldChar w:fldCharType="separate"/>
      </w:r>
      <w:hyperlink w:anchor="_ENREF_11" w:tooltip="Levinsky, 2001 #37" w:history="1">
        <w:r w:rsidR="007B57B1">
          <w:rPr>
            <w:noProof/>
            <w:w w:val="102"/>
          </w:rPr>
          <w:t>Levinsky et al. (2001</w:t>
        </w:r>
      </w:hyperlink>
      <w:r w:rsidR="007B57B1">
        <w:rPr>
          <w:noProof/>
          <w:w w:val="102"/>
        </w:rPr>
        <w:t>)</w:t>
      </w:r>
      <w:r>
        <w:rPr>
          <w:w w:val="102"/>
        </w:rPr>
        <w:fldChar w:fldCharType="end"/>
      </w:r>
      <w:r w:rsidR="007B57B1">
        <w:rPr>
          <w:w w:val="102"/>
        </w:rPr>
        <w:t xml:space="preserve"> </w:t>
      </w:r>
      <w:r w:rsidR="007B57B1">
        <w:rPr>
          <w:w w:val="101"/>
        </w:rPr>
        <w:t xml:space="preserve">attributed the </w:t>
      </w:r>
      <w:r w:rsidR="007B57B1">
        <w:rPr>
          <w:spacing w:val="-1"/>
        </w:rPr>
        <w:t xml:space="preserve">difference in expenditures between the young and old to the decision reached by </w:t>
      </w:r>
      <w:r w:rsidR="007B57B1">
        <w:rPr>
          <w:w w:val="104"/>
        </w:rPr>
        <w:t xml:space="preserve">many elderly patients, together with their families and doctors, to </w:t>
      </w:r>
      <w:r w:rsidR="007B57B1">
        <w:rPr>
          <w:w w:val="104"/>
        </w:rPr>
        <w:lastRenderedPageBreak/>
        <w:t xml:space="preserve">avoid </w:t>
      </w:r>
      <w:r w:rsidR="007B57B1">
        <w:rPr>
          <w:spacing w:val="-4"/>
        </w:rPr>
        <w:t xml:space="preserve">aggressive healthcare procedures that would have otherwise been used on younger </w:t>
      </w:r>
      <w:r w:rsidR="007B57B1">
        <w:rPr>
          <w:spacing w:val="-5"/>
        </w:rPr>
        <w:t>patients. Lives surviving to these older ages may also be more likely to stable on chronic medication than younger lives.</w:t>
      </w:r>
    </w:p>
    <w:p w:rsidR="007B57B1" w:rsidRPr="00F26530" w:rsidRDefault="00625779" w:rsidP="007B57B1">
      <w:pPr>
        <w:rPr>
          <w:caps/>
        </w:rPr>
      </w:pPr>
      <w:r>
        <w:rPr>
          <w:caps/>
        </w:rPr>
        <w:t>6</w:t>
      </w:r>
      <w:r w:rsidR="007B57B1" w:rsidRPr="00F26530">
        <w:rPr>
          <w:caps/>
        </w:rPr>
        <w:t xml:space="preserve">.1.2 Analysis of Average Costs in the Last Year of Life According to Category of Expenditure </w:t>
      </w:r>
    </w:p>
    <w:p w:rsidR="007B57B1" w:rsidRDefault="007B57B1" w:rsidP="00AD0700">
      <w:pPr>
        <w:jc w:val="both"/>
        <w:rPr>
          <w:color w:val="000000"/>
          <w:spacing w:val="-3"/>
          <w:szCs w:val="24"/>
        </w:rPr>
      </w:pPr>
      <w:r>
        <w:rPr>
          <w:spacing w:val="-3"/>
        </w:rPr>
        <w:t xml:space="preserve">Last-year-of-life costs are divided according to category of expenditure in order to </w:t>
      </w:r>
      <w:r>
        <w:rPr>
          <w:spacing w:val="-1"/>
        </w:rPr>
        <w:t xml:space="preserve">determine the most expensive categories to medical schemes. Table 2 illustrates </w:t>
      </w:r>
      <w:r>
        <w:rPr>
          <w:w w:val="106"/>
        </w:rPr>
        <w:t xml:space="preserve">the average last-year-of-life costs according to category of expenditure. </w:t>
      </w:r>
    </w:p>
    <w:p w:rsidR="007B57B1" w:rsidRDefault="0066042D" w:rsidP="007B57B1">
      <w:pPr>
        <w:pStyle w:val="Caption"/>
      </w:pPr>
      <w:r>
        <w:rPr>
          <w:noProof/>
          <w:lang w:val="en-US" w:eastAsia="en-US"/>
        </w:rPr>
        <w:pict>
          <v:shape id="Text Box 7" o:spid="_x0000_s1028" type="#_x0000_t202" style="position:absolute;margin-left:4.4pt;margin-top:61.15pt;width:6in;height:345.25pt;z-index:251770880;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" stroked="f">
            <v:fill opacity="0"/>
            <v:textbox inset=",0,,0">
              <w:txbxContent>
                <w:tbl>
                  <w:tblPr>
                    <w:tblW w:w="7938" w:type="dxa"/>
                    <w:tblInd w:w="108" w:type="dxa"/>
                    <w:tblLook w:val="04A0" w:firstRow="1" w:lastRow="0" w:firstColumn="1" w:lastColumn="0" w:noHBand="0" w:noVBand="1"/>
                  </w:tblPr>
                  <w:tblGrid>
                    <w:gridCol w:w="2552"/>
                    <w:gridCol w:w="1417"/>
                    <w:gridCol w:w="772"/>
                    <w:gridCol w:w="129"/>
                    <w:gridCol w:w="1417"/>
                    <w:gridCol w:w="833"/>
                    <w:gridCol w:w="818"/>
                  </w:tblGrid>
                  <w:tr w:rsidR="0066042D" w:rsidRPr="00BE1E2E" w:rsidTr="00613B31">
                    <w:trPr>
                      <w:trHeight w:val="309"/>
                    </w:trPr>
                    <w:tc>
                      <w:tcPr>
                        <w:tcW w:w="2552" w:type="dxa"/>
                        <w:tcBorders>
                          <w:top w:val="single" w:sz="4" w:space="0" w:color="auto"/>
                          <w:left w:val="nil"/>
                          <w:bottom w:val="nil"/>
                          <w:right w:val="nil"/>
                        </w:tcBorders>
                        <w:shd w:val="clear" w:color="auto" w:fill="auto"/>
                        <w:noWrap/>
                        <w:vAlign w:val="bottom"/>
                        <w:hideMark/>
                      </w:tcPr>
                      <w:p w:rsidR="0066042D" w:rsidRPr="009D3E57" w:rsidRDefault="0066042D" w:rsidP="00613B31">
                        <w:pPr>
                          <w:spacing w:after="0"/>
                          <w:rPr>
                            <w:rFonts w:eastAsia="Times New Roman"/>
                            <w:color w:val="000000"/>
                          </w:rPr>
                        </w:pPr>
                      </w:p>
                    </w:tc>
                    <w:tc>
                      <w:tcPr>
                        <w:tcW w:w="4568" w:type="dxa"/>
                        <w:gridSpan w:val="5"/>
                        <w:tcBorders>
                          <w:top w:val="single" w:sz="4" w:space="0" w:color="auto"/>
                          <w:left w:val="nil"/>
                          <w:bottom w:val="single" w:sz="4" w:space="0" w:color="auto"/>
                          <w:right w:val="nil"/>
                        </w:tcBorders>
                        <w:vAlign w:val="center"/>
                      </w:tcPr>
                      <w:p w:rsidR="0066042D" w:rsidRPr="009D3E57" w:rsidRDefault="0066042D" w:rsidP="00613B31">
                        <w:pPr>
                          <w:spacing w:after="0"/>
                          <w:jc w:val="center"/>
                          <w:rPr>
                            <w:rFonts w:eastAsia="Times New Roman"/>
                            <w:i/>
                            <w:color w:val="000000"/>
                          </w:rPr>
                        </w:pPr>
                        <w:r w:rsidRPr="009D3E57">
                          <w:rPr>
                            <w:rFonts w:eastAsia="Times New Roman"/>
                            <w:i/>
                            <w:color w:val="000000"/>
                          </w:rPr>
                          <w:t>Years Prior to Death</w:t>
                        </w:r>
                      </w:p>
                    </w:tc>
                    <w:tc>
                      <w:tcPr>
                        <w:tcW w:w="818" w:type="dxa"/>
                        <w:tcBorders>
                          <w:top w:val="single" w:sz="4" w:space="0" w:color="auto"/>
                          <w:left w:val="nil"/>
                          <w:bottom w:val="single" w:sz="4" w:space="0" w:color="auto"/>
                          <w:right w:val="nil"/>
                        </w:tcBorders>
                        <w:vAlign w:val="center"/>
                      </w:tcPr>
                      <w:p w:rsidR="0066042D" w:rsidRPr="009D3E57" w:rsidRDefault="0066042D" w:rsidP="00613B31">
                        <w:pPr>
                          <w:spacing w:after="0"/>
                          <w:jc w:val="center"/>
                          <w:rPr>
                            <w:rFonts w:eastAsia="Times New Roman"/>
                            <w:i/>
                            <w:color w:val="000000"/>
                          </w:rPr>
                        </w:pPr>
                      </w:p>
                    </w:tc>
                  </w:tr>
                  <w:tr w:rsidR="0066042D" w:rsidRPr="00BE1E2E" w:rsidTr="00625779">
                    <w:trPr>
                      <w:trHeight w:val="312"/>
                    </w:trPr>
                    <w:tc>
                      <w:tcPr>
                        <w:tcW w:w="2552" w:type="dxa"/>
                        <w:tcBorders>
                          <w:top w:val="single" w:sz="4" w:space="0" w:color="auto"/>
                          <w:left w:val="nil"/>
                          <w:bottom w:val="nil"/>
                          <w:right w:val="nil"/>
                        </w:tcBorders>
                        <w:shd w:val="clear" w:color="auto" w:fill="auto"/>
                        <w:noWrap/>
                        <w:vAlign w:val="bottom"/>
                        <w:hideMark/>
                      </w:tcPr>
                      <w:p w:rsidR="0066042D" w:rsidRPr="009D3E57" w:rsidRDefault="0066042D" w:rsidP="00613B31">
                        <w:pPr>
                          <w:spacing w:after="0"/>
                          <w:rPr>
                            <w:rFonts w:eastAsia="Times New Roman"/>
                            <w:color w:val="000000"/>
                          </w:rPr>
                        </w:pPr>
                      </w:p>
                    </w:tc>
                    <w:tc>
                      <w:tcPr>
                        <w:tcW w:w="2189" w:type="dxa"/>
                        <w:gridSpan w:val="2"/>
                        <w:tcBorders>
                          <w:top w:val="single" w:sz="4" w:space="0" w:color="auto"/>
                          <w:left w:val="nil"/>
                          <w:bottom w:val="single" w:sz="4" w:space="0" w:color="auto"/>
                          <w:right w:val="nil"/>
                        </w:tcBorders>
                        <w:vAlign w:val="center"/>
                      </w:tcPr>
                      <w:p w:rsidR="0066042D" w:rsidRPr="009D3E57" w:rsidRDefault="0066042D" w:rsidP="00613B31">
                        <w:pPr>
                          <w:spacing w:after="0"/>
                          <w:jc w:val="center"/>
                          <w:rPr>
                            <w:rFonts w:eastAsia="Times New Roman"/>
                            <w:i/>
                            <w:color w:val="000000"/>
                          </w:rPr>
                        </w:pPr>
                        <w:r w:rsidRPr="009D3E57">
                          <w:rPr>
                            <w:rFonts w:eastAsia="Times New Roman"/>
                            <w:i/>
                            <w:color w:val="000000"/>
                          </w:rPr>
                          <w:t>1</w:t>
                        </w:r>
                        <w:r w:rsidRPr="00FB021F">
                          <w:rPr>
                            <w:rFonts w:eastAsia="Times New Roman"/>
                            <w:i/>
                            <w:color w:val="000000"/>
                            <w:vertAlign w:val="superscript"/>
                          </w:rPr>
                          <w:t>st</w:t>
                        </w:r>
                      </w:p>
                    </w:tc>
                    <w:tc>
                      <w:tcPr>
                        <w:tcW w:w="2379" w:type="dxa"/>
                        <w:gridSpan w:val="3"/>
                        <w:tcBorders>
                          <w:top w:val="single" w:sz="4" w:space="0" w:color="auto"/>
                          <w:left w:val="nil"/>
                          <w:bottom w:val="single" w:sz="4" w:space="0" w:color="auto"/>
                          <w:right w:val="nil"/>
                        </w:tcBorders>
                        <w:shd w:val="clear" w:color="auto" w:fill="auto"/>
                        <w:noWrap/>
                        <w:vAlign w:val="center"/>
                        <w:hideMark/>
                      </w:tcPr>
                      <w:p w:rsidR="0066042D" w:rsidRPr="009D3E57" w:rsidRDefault="0066042D" w:rsidP="00613B31">
                        <w:pPr>
                          <w:spacing w:after="0"/>
                          <w:jc w:val="center"/>
                          <w:rPr>
                            <w:rFonts w:eastAsia="Times New Roman"/>
                            <w:i/>
                            <w:color w:val="000000"/>
                          </w:rPr>
                        </w:pPr>
                        <w:r w:rsidRPr="00BE1E2E">
                          <w:rPr>
                            <w:rFonts w:eastAsia="Times New Roman"/>
                            <w:i/>
                            <w:color w:val="000000"/>
                          </w:rPr>
                          <w:t>2</w:t>
                        </w:r>
                        <w:r w:rsidRPr="00FB021F">
                          <w:rPr>
                            <w:rFonts w:eastAsia="Times New Roman"/>
                            <w:i/>
                            <w:color w:val="000000"/>
                            <w:vertAlign w:val="superscript"/>
                          </w:rPr>
                          <w:t>nd</w:t>
                        </w:r>
                      </w:p>
                    </w:tc>
                    <w:tc>
                      <w:tcPr>
                        <w:tcW w:w="818" w:type="dxa"/>
                        <w:vMerge w:val="restart"/>
                        <w:tcBorders>
                          <w:top w:val="single" w:sz="4" w:space="0" w:color="auto"/>
                          <w:left w:val="nil"/>
                          <w:right w:val="nil"/>
                        </w:tcBorders>
                        <w:shd w:val="clear" w:color="auto" w:fill="auto"/>
                        <w:noWrap/>
                        <w:vAlign w:val="center"/>
                        <w:hideMark/>
                      </w:tcPr>
                      <w:p w:rsidR="0066042D" w:rsidRPr="002C63CA" w:rsidRDefault="0066042D" w:rsidP="00613B31">
                        <w:pPr>
                          <w:spacing w:after="0"/>
                          <w:jc w:val="center"/>
                          <w:rPr>
                            <w:rFonts w:eastAsia="Times New Roman"/>
                            <w:i/>
                            <w:color w:val="000000"/>
                          </w:rPr>
                        </w:pPr>
                        <w:r w:rsidRPr="002C63CA">
                          <w:rPr>
                            <w:rFonts w:eastAsia="Times New Roman"/>
                            <w:i/>
                            <w:color w:val="000000"/>
                          </w:rPr>
                          <w:t>Ratio</w:t>
                        </w:r>
                      </w:p>
                    </w:tc>
                  </w:tr>
                  <w:tr w:rsidR="0066042D" w:rsidRPr="00BE1E2E" w:rsidTr="00625779">
                    <w:trPr>
                      <w:trHeight w:val="289"/>
                    </w:trPr>
                    <w:tc>
                      <w:tcPr>
                        <w:tcW w:w="2552" w:type="dxa"/>
                        <w:tcBorders>
                          <w:top w:val="nil"/>
                          <w:left w:val="nil"/>
                          <w:bottom w:val="single" w:sz="4" w:space="0" w:color="auto"/>
                          <w:right w:val="nil"/>
                        </w:tcBorders>
                        <w:shd w:val="clear" w:color="auto" w:fill="auto"/>
                        <w:noWrap/>
                        <w:vAlign w:val="center"/>
                        <w:hideMark/>
                      </w:tcPr>
                      <w:p w:rsidR="0066042D" w:rsidRPr="009D3E57" w:rsidRDefault="0066042D" w:rsidP="00613B31">
                        <w:pPr>
                          <w:spacing w:after="0"/>
                          <w:rPr>
                            <w:rFonts w:eastAsia="Times New Roman"/>
                            <w:i/>
                            <w:color w:val="000000"/>
                          </w:rPr>
                        </w:pPr>
                        <w:r w:rsidRPr="009D3E57">
                          <w:rPr>
                            <w:rFonts w:eastAsia="Times New Roman"/>
                            <w:i/>
                            <w:color w:val="000000"/>
                          </w:rPr>
                          <w:t>Category of Expenditure</w:t>
                        </w:r>
                        <w:r>
                          <w:rPr>
                            <w:rFonts w:eastAsia="Times New Roman"/>
                            <w:i/>
                            <w:color w:val="000000"/>
                          </w:rPr>
                          <w:t>*</w:t>
                        </w:r>
                        <w:r w:rsidRPr="009D3E57">
                          <w:rPr>
                            <w:rFonts w:eastAsia="Times New Roman"/>
                            <w:i/>
                            <w:color w:val="000000"/>
                          </w:rPr>
                          <w:t xml:space="preserve"> </w:t>
                        </w:r>
                      </w:p>
                    </w:tc>
                    <w:tc>
                      <w:tcPr>
                        <w:tcW w:w="1417" w:type="dxa"/>
                        <w:tcBorders>
                          <w:top w:val="nil"/>
                          <w:left w:val="nil"/>
                          <w:bottom w:val="single" w:sz="4" w:space="0" w:color="auto"/>
                          <w:right w:val="nil"/>
                        </w:tcBorders>
                        <w:shd w:val="clear" w:color="auto" w:fill="auto"/>
                        <w:noWrap/>
                        <w:vAlign w:val="center"/>
                        <w:hideMark/>
                      </w:tcPr>
                      <w:p w:rsidR="0066042D" w:rsidRPr="009D3E57" w:rsidRDefault="0066042D" w:rsidP="00613B31">
                        <w:pPr>
                          <w:spacing w:after="0"/>
                          <w:jc w:val="center"/>
                          <w:rPr>
                            <w:rFonts w:eastAsia="Times New Roman"/>
                            <w:i/>
                            <w:color w:val="000000"/>
                          </w:rPr>
                        </w:pPr>
                        <w:r>
                          <w:rPr>
                            <w:rFonts w:eastAsia="Times New Roman"/>
                            <w:i/>
                            <w:color w:val="000000"/>
                          </w:rPr>
                          <w:t>Average Cost</w:t>
                        </w:r>
                      </w:p>
                    </w:tc>
                    <w:tc>
                      <w:tcPr>
                        <w:tcW w:w="901" w:type="dxa"/>
                        <w:gridSpan w:val="2"/>
                        <w:tcBorders>
                          <w:top w:val="nil"/>
                          <w:left w:val="nil"/>
                          <w:bottom w:val="single" w:sz="4" w:space="0" w:color="auto"/>
                          <w:right w:val="nil"/>
                        </w:tcBorders>
                        <w:vAlign w:val="center"/>
                      </w:tcPr>
                      <w:p w:rsidR="0066042D" w:rsidRPr="00BE1E2E" w:rsidRDefault="0066042D" w:rsidP="00613B31">
                        <w:pPr>
                          <w:spacing w:after="0"/>
                          <w:jc w:val="center"/>
                          <w:rPr>
                            <w:rFonts w:eastAsia="Times New Roman"/>
                            <w:i/>
                            <w:color w:val="000000"/>
                          </w:rPr>
                        </w:pPr>
                        <w:r>
                          <w:rPr>
                            <w:rFonts w:eastAsia="Times New Roman"/>
                            <w:i/>
                            <w:color w:val="000000"/>
                          </w:rPr>
                          <w:t xml:space="preserve">   %**</w:t>
                        </w:r>
                      </w:p>
                    </w:tc>
                    <w:tc>
                      <w:tcPr>
                        <w:tcW w:w="1417" w:type="dxa"/>
                        <w:tcBorders>
                          <w:top w:val="nil"/>
                          <w:left w:val="nil"/>
                          <w:bottom w:val="single" w:sz="4" w:space="0" w:color="auto"/>
                          <w:right w:val="nil"/>
                        </w:tcBorders>
                        <w:vAlign w:val="center"/>
                      </w:tcPr>
                      <w:p w:rsidR="0066042D" w:rsidRPr="00BE1E2E" w:rsidRDefault="0066042D" w:rsidP="00613B31">
                        <w:pPr>
                          <w:spacing w:after="0"/>
                          <w:jc w:val="center"/>
                          <w:rPr>
                            <w:rFonts w:eastAsia="Times New Roman"/>
                            <w:i/>
                            <w:color w:val="000000"/>
                          </w:rPr>
                        </w:pPr>
                        <w:r>
                          <w:rPr>
                            <w:rFonts w:eastAsia="Times New Roman"/>
                            <w:i/>
                            <w:color w:val="000000"/>
                          </w:rPr>
                          <w:t>Average Cost</w:t>
                        </w:r>
                      </w:p>
                    </w:tc>
                    <w:tc>
                      <w:tcPr>
                        <w:tcW w:w="833" w:type="dxa"/>
                        <w:tcBorders>
                          <w:top w:val="nil"/>
                          <w:left w:val="nil"/>
                          <w:bottom w:val="single" w:sz="4" w:space="0" w:color="auto"/>
                          <w:right w:val="nil"/>
                        </w:tcBorders>
                        <w:shd w:val="clear" w:color="auto" w:fill="auto"/>
                        <w:noWrap/>
                        <w:vAlign w:val="center"/>
                        <w:hideMark/>
                      </w:tcPr>
                      <w:p w:rsidR="0066042D" w:rsidRPr="009D3E57" w:rsidRDefault="0066042D" w:rsidP="00613B31">
                        <w:pPr>
                          <w:spacing w:after="0"/>
                          <w:jc w:val="center"/>
                          <w:rPr>
                            <w:rFonts w:eastAsia="Times New Roman"/>
                            <w:i/>
                            <w:color w:val="000000"/>
                          </w:rPr>
                        </w:pPr>
                        <w:r>
                          <w:rPr>
                            <w:rFonts w:eastAsia="Times New Roman"/>
                            <w:i/>
                            <w:color w:val="000000"/>
                          </w:rPr>
                          <w:t xml:space="preserve">   %**</w:t>
                        </w:r>
                      </w:p>
                    </w:tc>
                    <w:tc>
                      <w:tcPr>
                        <w:tcW w:w="818" w:type="dxa"/>
                        <w:vMerge/>
                        <w:tcBorders>
                          <w:left w:val="nil"/>
                          <w:bottom w:val="single" w:sz="4" w:space="0" w:color="auto"/>
                          <w:right w:val="nil"/>
                        </w:tcBorders>
                        <w:shd w:val="clear" w:color="auto" w:fill="auto"/>
                        <w:noWrap/>
                        <w:vAlign w:val="center"/>
                        <w:hideMark/>
                      </w:tcPr>
                      <w:p w:rsidR="0066042D" w:rsidRPr="009D3E57" w:rsidRDefault="0066042D" w:rsidP="00613B31">
                        <w:pPr>
                          <w:spacing w:after="0"/>
                          <w:rPr>
                            <w:rFonts w:eastAsia="Times New Roman"/>
                            <w:color w:val="000000"/>
                          </w:rPr>
                        </w:pP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Acute Medicines</w:t>
                        </w:r>
                      </w:p>
                    </w:tc>
                    <w:tc>
                      <w:tcPr>
                        <w:tcW w:w="1417"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2 976.77</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1.59%</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2 658.39</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5.00%</w:t>
                        </w:r>
                      </w:p>
                    </w:tc>
                    <w:tc>
                      <w:tcPr>
                        <w:tcW w:w="818" w:type="dxa"/>
                        <w:tcBorders>
                          <w:top w:val="single" w:sz="4" w:space="0" w:color="auto"/>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1.12</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Anti- Retroviral Therapy</w:t>
                        </w:r>
                      </w:p>
                    </w:tc>
                    <w:tc>
                      <w:tcPr>
                        <w:tcW w:w="1417"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498.40</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0.27%</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348.43</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0.66%</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1.43</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Auxiliary</w:t>
                        </w:r>
                      </w:p>
                    </w:tc>
                    <w:tc>
                      <w:tcPr>
                        <w:tcW w:w="1417" w:type="dxa"/>
                        <w:tcBorders>
                          <w:top w:val="nil"/>
                          <w:left w:val="nil"/>
                          <w:bottom w:val="nil"/>
                          <w:right w:val="nil"/>
                        </w:tcBorders>
                        <w:shd w:val="clear" w:color="auto" w:fill="auto"/>
                        <w:noWrap/>
                        <w:vAlign w:val="center"/>
                        <w:hideMark/>
                      </w:tcPr>
                      <w:p w:rsidR="0066042D" w:rsidRPr="00BA3F2B" w:rsidRDefault="0066042D" w:rsidP="00613B31">
                        <w:pPr>
                          <w:autoSpaceDE w:val="0"/>
                          <w:autoSpaceDN w:val="0"/>
                          <w:adjustRightInd w:val="0"/>
                          <w:spacing w:after="0"/>
                          <w:jc w:val="center"/>
                          <w:rPr>
                            <w:color w:val="000000"/>
                            <w:sz w:val="20"/>
                            <w:szCs w:val="20"/>
                          </w:rPr>
                        </w:pPr>
                        <w:r w:rsidRPr="00BA3F2B">
                          <w:rPr>
                            <w:color w:val="000000"/>
                            <w:sz w:val="20"/>
                            <w:szCs w:val="20"/>
                          </w:rPr>
                          <w:t>14 700.29</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7.84%</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3 450.71</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6.49%</w:t>
                        </w:r>
                      </w:p>
                    </w:tc>
                    <w:tc>
                      <w:tcPr>
                        <w:tcW w:w="818" w:type="dxa"/>
                        <w:tcBorders>
                          <w:top w:val="nil"/>
                          <w:left w:val="nil"/>
                          <w:bottom w:val="nil"/>
                          <w:right w:val="nil"/>
                        </w:tcBorders>
                        <w:shd w:val="clear" w:color="auto" w:fill="auto"/>
                        <w:noWrap/>
                        <w:vAlign w:val="center"/>
                        <w:hideMark/>
                      </w:tcPr>
                      <w:p w:rsidR="0066042D" w:rsidRPr="00BA3F2B" w:rsidRDefault="0066042D" w:rsidP="00613B31">
                        <w:pPr>
                          <w:spacing w:after="0"/>
                          <w:jc w:val="center"/>
                          <w:rPr>
                            <w:rFonts w:eastAsia="Times New Roman"/>
                            <w:color w:val="000000"/>
                            <w:sz w:val="20"/>
                            <w:szCs w:val="20"/>
                          </w:rPr>
                        </w:pPr>
                        <w:r w:rsidRPr="00BA3F2B">
                          <w:rPr>
                            <w:rFonts w:eastAsia="Times New Roman"/>
                            <w:color w:val="000000"/>
                            <w:sz w:val="20"/>
                            <w:szCs w:val="20"/>
                          </w:rPr>
                          <w:t>4.26</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Chronic Medicines</w:t>
                        </w:r>
                      </w:p>
                    </w:tc>
                    <w:tc>
                      <w:tcPr>
                        <w:tcW w:w="1417"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2 241.15</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1.20%</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2 539.65</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4.78%</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0.88</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Dental</w:t>
                        </w:r>
                      </w:p>
                    </w:tc>
                    <w:tc>
                      <w:tcPr>
                        <w:tcW w:w="1417"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273.59</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0.15%</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355.33</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0.67%</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0.77</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General Practitioner</w:t>
                        </w:r>
                      </w:p>
                    </w:tc>
                    <w:tc>
                      <w:tcPr>
                        <w:tcW w:w="1417"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2 491.42</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1.33%</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1 481.32</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2.79%</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1.68</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Hospital</w:t>
                        </w:r>
                      </w:p>
                    </w:tc>
                    <w:tc>
                      <w:tcPr>
                        <w:tcW w:w="1417"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b/>
                            <w:color w:val="000000"/>
                            <w:sz w:val="20"/>
                            <w:szCs w:val="20"/>
                          </w:rPr>
                        </w:pPr>
                        <w:r w:rsidRPr="00373CA4">
                          <w:rPr>
                            <w:b/>
                            <w:color w:val="000000"/>
                            <w:sz w:val="20"/>
                            <w:szCs w:val="20"/>
                          </w:rPr>
                          <w:t>111 446.79</w:t>
                        </w:r>
                      </w:p>
                    </w:tc>
                    <w:tc>
                      <w:tcPr>
                        <w:tcW w:w="901" w:type="dxa"/>
                        <w:gridSpan w:val="2"/>
                        <w:tcBorders>
                          <w:top w:val="nil"/>
                          <w:left w:val="nil"/>
                          <w:bottom w:val="nil"/>
                          <w:right w:val="nil"/>
                        </w:tcBorders>
                        <w:vAlign w:val="center"/>
                      </w:tcPr>
                      <w:p w:rsidR="0066042D" w:rsidRPr="00BA3F2B" w:rsidRDefault="0066042D" w:rsidP="00613B31">
                        <w:pPr>
                          <w:autoSpaceDE w:val="0"/>
                          <w:autoSpaceDN w:val="0"/>
                          <w:adjustRightInd w:val="0"/>
                          <w:spacing w:after="0"/>
                          <w:jc w:val="center"/>
                          <w:rPr>
                            <w:b/>
                            <w:color w:val="000000"/>
                            <w:sz w:val="20"/>
                            <w:szCs w:val="20"/>
                          </w:rPr>
                        </w:pPr>
                        <w:r w:rsidRPr="00BA3F2B">
                          <w:rPr>
                            <w:b/>
                            <w:color w:val="000000"/>
                            <w:sz w:val="20"/>
                            <w:szCs w:val="20"/>
                          </w:rPr>
                          <w:t>59.47%</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22 475.74</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42.28%</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b/>
                            <w:color w:val="000000"/>
                            <w:sz w:val="20"/>
                            <w:szCs w:val="20"/>
                          </w:rPr>
                        </w:pPr>
                        <w:r w:rsidRPr="00373CA4">
                          <w:rPr>
                            <w:rFonts w:eastAsia="Times New Roman"/>
                            <w:b/>
                            <w:color w:val="000000"/>
                            <w:sz w:val="20"/>
                            <w:szCs w:val="20"/>
                          </w:rPr>
                          <w:t>4.96</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Medical Specialist</w:t>
                        </w:r>
                      </w:p>
                    </w:tc>
                    <w:tc>
                      <w:tcPr>
                        <w:tcW w:w="1417" w:type="dxa"/>
                        <w:tcBorders>
                          <w:top w:val="nil"/>
                          <w:left w:val="nil"/>
                          <w:bottom w:val="nil"/>
                          <w:right w:val="nil"/>
                        </w:tcBorders>
                        <w:shd w:val="clear" w:color="auto" w:fill="auto"/>
                        <w:noWrap/>
                        <w:vAlign w:val="center"/>
                        <w:hideMark/>
                      </w:tcPr>
                      <w:p w:rsidR="0066042D" w:rsidRPr="00BA3F2B" w:rsidRDefault="0066042D" w:rsidP="00613B31">
                        <w:pPr>
                          <w:autoSpaceDE w:val="0"/>
                          <w:autoSpaceDN w:val="0"/>
                          <w:adjustRightInd w:val="0"/>
                          <w:spacing w:after="0"/>
                          <w:jc w:val="center"/>
                          <w:rPr>
                            <w:color w:val="000000"/>
                            <w:sz w:val="20"/>
                            <w:szCs w:val="20"/>
                          </w:rPr>
                        </w:pPr>
                        <w:r w:rsidRPr="00BA3F2B">
                          <w:rPr>
                            <w:color w:val="000000"/>
                            <w:sz w:val="20"/>
                            <w:szCs w:val="20"/>
                          </w:rPr>
                          <w:t>15 490.24</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8.27%</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4 767.73</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8.97%</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3.25</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Optical</w:t>
                        </w:r>
                      </w:p>
                    </w:tc>
                    <w:tc>
                      <w:tcPr>
                        <w:tcW w:w="1417" w:type="dxa"/>
                        <w:tcBorders>
                          <w:top w:val="nil"/>
                          <w:left w:val="nil"/>
                          <w:bottom w:val="nil"/>
                          <w:right w:val="nil"/>
                        </w:tcBorders>
                        <w:shd w:val="clear" w:color="auto" w:fill="auto"/>
                        <w:noWrap/>
                        <w:vAlign w:val="center"/>
                        <w:hideMark/>
                      </w:tcPr>
                      <w:p w:rsidR="0066042D" w:rsidRPr="00BA3F2B" w:rsidRDefault="0066042D" w:rsidP="00613B31">
                        <w:pPr>
                          <w:autoSpaceDE w:val="0"/>
                          <w:autoSpaceDN w:val="0"/>
                          <w:adjustRightInd w:val="0"/>
                          <w:spacing w:after="0"/>
                          <w:jc w:val="center"/>
                          <w:rPr>
                            <w:color w:val="000000"/>
                            <w:sz w:val="20"/>
                            <w:szCs w:val="20"/>
                          </w:rPr>
                        </w:pPr>
                        <w:r w:rsidRPr="00BA3F2B">
                          <w:rPr>
                            <w:color w:val="000000"/>
                            <w:sz w:val="20"/>
                            <w:szCs w:val="20"/>
                          </w:rPr>
                          <w:t>324.40</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0.17%</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434.86</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0.82%</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0.75</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Pathology</w:t>
                        </w:r>
                      </w:p>
                    </w:tc>
                    <w:tc>
                      <w:tcPr>
                        <w:tcW w:w="1417" w:type="dxa"/>
                        <w:tcBorders>
                          <w:top w:val="nil"/>
                          <w:left w:val="nil"/>
                          <w:bottom w:val="nil"/>
                          <w:right w:val="nil"/>
                        </w:tcBorders>
                        <w:shd w:val="clear" w:color="auto" w:fill="auto"/>
                        <w:noWrap/>
                        <w:vAlign w:val="center"/>
                        <w:hideMark/>
                      </w:tcPr>
                      <w:p w:rsidR="0066042D" w:rsidRPr="00BA3F2B" w:rsidRDefault="0066042D" w:rsidP="00613B31">
                        <w:pPr>
                          <w:autoSpaceDE w:val="0"/>
                          <w:autoSpaceDN w:val="0"/>
                          <w:adjustRightInd w:val="0"/>
                          <w:spacing w:after="0"/>
                          <w:jc w:val="center"/>
                          <w:rPr>
                            <w:color w:val="000000"/>
                            <w:sz w:val="20"/>
                            <w:szCs w:val="20"/>
                          </w:rPr>
                        </w:pPr>
                        <w:r w:rsidRPr="00BA3F2B">
                          <w:rPr>
                            <w:color w:val="000000"/>
                            <w:sz w:val="20"/>
                            <w:szCs w:val="20"/>
                          </w:rPr>
                          <w:t>10 217.80</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5.45%</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2 417.13</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4.55%</w:t>
                        </w:r>
                      </w:p>
                    </w:tc>
                    <w:tc>
                      <w:tcPr>
                        <w:tcW w:w="818" w:type="dxa"/>
                        <w:tcBorders>
                          <w:top w:val="nil"/>
                          <w:left w:val="nil"/>
                          <w:bottom w:val="nil"/>
                          <w:right w:val="nil"/>
                        </w:tcBorders>
                        <w:shd w:val="clear" w:color="auto" w:fill="auto"/>
                        <w:noWrap/>
                        <w:vAlign w:val="center"/>
                        <w:hideMark/>
                      </w:tcPr>
                      <w:p w:rsidR="0066042D" w:rsidRPr="00BA3F2B" w:rsidRDefault="0066042D" w:rsidP="00613B31">
                        <w:pPr>
                          <w:spacing w:after="0"/>
                          <w:jc w:val="center"/>
                          <w:rPr>
                            <w:rFonts w:eastAsia="Times New Roman"/>
                            <w:color w:val="000000"/>
                            <w:sz w:val="20"/>
                            <w:szCs w:val="20"/>
                          </w:rPr>
                        </w:pPr>
                        <w:r w:rsidRPr="00BA3F2B">
                          <w:rPr>
                            <w:rFonts w:eastAsia="Times New Roman"/>
                            <w:color w:val="000000"/>
                            <w:sz w:val="20"/>
                            <w:szCs w:val="20"/>
                          </w:rPr>
                          <w:t>4.23</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Radiation/Oncology</w:t>
                        </w:r>
                      </w:p>
                    </w:tc>
                    <w:tc>
                      <w:tcPr>
                        <w:tcW w:w="1417" w:type="dxa"/>
                        <w:tcBorders>
                          <w:top w:val="nil"/>
                          <w:left w:val="nil"/>
                          <w:bottom w:val="nil"/>
                          <w:right w:val="nil"/>
                        </w:tcBorders>
                        <w:shd w:val="clear" w:color="auto" w:fill="auto"/>
                        <w:noWrap/>
                        <w:vAlign w:val="center"/>
                        <w:hideMark/>
                      </w:tcPr>
                      <w:p w:rsidR="0066042D" w:rsidRPr="00BA3F2B" w:rsidRDefault="0066042D" w:rsidP="00613B31">
                        <w:pPr>
                          <w:autoSpaceDE w:val="0"/>
                          <w:autoSpaceDN w:val="0"/>
                          <w:adjustRightInd w:val="0"/>
                          <w:spacing w:after="0"/>
                          <w:jc w:val="center"/>
                          <w:rPr>
                            <w:color w:val="000000"/>
                            <w:sz w:val="20"/>
                            <w:szCs w:val="20"/>
                          </w:rPr>
                        </w:pPr>
                        <w:r w:rsidRPr="00BA3F2B">
                          <w:rPr>
                            <w:color w:val="000000"/>
                            <w:sz w:val="20"/>
                            <w:szCs w:val="20"/>
                          </w:rPr>
                          <w:t>12 100.52</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6.46%</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6 395.39</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12.03%</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1.89</w:t>
                        </w:r>
                      </w:p>
                    </w:tc>
                  </w:tr>
                  <w:tr w:rsidR="0066042D" w:rsidRPr="009D3E57" w:rsidTr="00625779">
                    <w:trPr>
                      <w:trHeight w:val="300"/>
                    </w:trPr>
                    <w:tc>
                      <w:tcPr>
                        <w:tcW w:w="2552" w:type="dxa"/>
                        <w:tcBorders>
                          <w:top w:val="nil"/>
                          <w:left w:val="nil"/>
                          <w:bottom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Radiology</w:t>
                        </w:r>
                      </w:p>
                    </w:tc>
                    <w:tc>
                      <w:tcPr>
                        <w:tcW w:w="1417"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7 719.71</w:t>
                        </w:r>
                      </w:p>
                    </w:tc>
                    <w:tc>
                      <w:tcPr>
                        <w:tcW w:w="901" w:type="dxa"/>
                        <w:gridSpan w:val="2"/>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4.12%</w:t>
                        </w:r>
                      </w:p>
                    </w:tc>
                    <w:tc>
                      <w:tcPr>
                        <w:tcW w:w="1417" w:type="dxa"/>
                        <w:tcBorders>
                          <w:top w:val="nil"/>
                          <w:left w:val="nil"/>
                          <w:bottom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2 747.59</w:t>
                        </w:r>
                      </w:p>
                    </w:tc>
                    <w:tc>
                      <w:tcPr>
                        <w:tcW w:w="833" w:type="dxa"/>
                        <w:tcBorders>
                          <w:top w:val="nil"/>
                          <w:left w:val="nil"/>
                          <w:bottom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5.17%</w:t>
                        </w:r>
                      </w:p>
                    </w:tc>
                    <w:tc>
                      <w:tcPr>
                        <w:tcW w:w="818" w:type="dxa"/>
                        <w:tcBorders>
                          <w:top w:val="nil"/>
                          <w:left w:val="nil"/>
                          <w:bottom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2.81</w:t>
                        </w:r>
                      </w:p>
                    </w:tc>
                  </w:tr>
                  <w:tr w:rsidR="0066042D" w:rsidRPr="009D3E57" w:rsidTr="00625779">
                    <w:trPr>
                      <w:trHeight w:val="300"/>
                    </w:trPr>
                    <w:tc>
                      <w:tcPr>
                        <w:tcW w:w="2552" w:type="dxa"/>
                        <w:tcBorders>
                          <w:top w:val="nil"/>
                          <w:left w:val="nil"/>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Special Benefits</w:t>
                        </w:r>
                      </w:p>
                    </w:tc>
                    <w:tc>
                      <w:tcPr>
                        <w:tcW w:w="1417" w:type="dxa"/>
                        <w:tcBorders>
                          <w:top w:val="nil"/>
                          <w:left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6 902.22</w:t>
                        </w:r>
                      </w:p>
                    </w:tc>
                    <w:tc>
                      <w:tcPr>
                        <w:tcW w:w="901" w:type="dxa"/>
                        <w:gridSpan w:val="2"/>
                        <w:tcBorders>
                          <w:top w:val="nil"/>
                          <w:left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3.68%</w:t>
                        </w:r>
                      </w:p>
                    </w:tc>
                    <w:tc>
                      <w:tcPr>
                        <w:tcW w:w="1417" w:type="dxa"/>
                        <w:tcBorders>
                          <w:top w:val="nil"/>
                          <w:left w:val="nil"/>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3 079.61</w:t>
                        </w:r>
                      </w:p>
                    </w:tc>
                    <w:tc>
                      <w:tcPr>
                        <w:tcW w:w="833" w:type="dxa"/>
                        <w:tcBorders>
                          <w:top w:val="nil"/>
                          <w:left w:val="nil"/>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5.79%</w:t>
                        </w:r>
                      </w:p>
                    </w:tc>
                    <w:tc>
                      <w:tcPr>
                        <w:tcW w:w="818" w:type="dxa"/>
                        <w:tcBorders>
                          <w:top w:val="nil"/>
                          <w:left w:val="nil"/>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2.24</w:t>
                        </w:r>
                      </w:p>
                    </w:tc>
                  </w:tr>
                  <w:tr w:rsidR="0066042D" w:rsidRPr="009D3E57" w:rsidTr="00625779">
                    <w:trPr>
                      <w:trHeight w:val="300"/>
                    </w:trPr>
                    <w:tc>
                      <w:tcPr>
                        <w:tcW w:w="2552" w:type="dxa"/>
                        <w:tcBorders>
                          <w:top w:val="nil"/>
                          <w:left w:val="nil"/>
                          <w:bottom w:val="single" w:sz="4" w:space="0" w:color="auto"/>
                          <w:right w:val="nil"/>
                        </w:tcBorders>
                        <w:shd w:val="clear" w:color="auto" w:fill="auto"/>
                        <w:noWrap/>
                        <w:vAlign w:val="center"/>
                        <w:hideMark/>
                      </w:tcPr>
                      <w:p w:rsidR="0066042D" w:rsidRPr="009D3E57" w:rsidRDefault="0066042D" w:rsidP="00613B31">
                        <w:pPr>
                          <w:spacing w:after="0"/>
                          <w:rPr>
                            <w:rFonts w:eastAsia="Times New Roman"/>
                            <w:color w:val="000000"/>
                          </w:rPr>
                        </w:pPr>
                        <w:r w:rsidRPr="00BE1E2E">
                          <w:rPr>
                            <w:rFonts w:eastAsia="Times New Roman"/>
                            <w:color w:val="000000"/>
                          </w:rPr>
                          <w:t>Unknown</w:t>
                        </w:r>
                      </w:p>
                    </w:tc>
                    <w:tc>
                      <w:tcPr>
                        <w:tcW w:w="1417" w:type="dxa"/>
                        <w:tcBorders>
                          <w:top w:val="nil"/>
                          <w:left w:val="nil"/>
                          <w:bottom w:val="single" w:sz="4" w:space="0" w:color="auto"/>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4.77</w:t>
                        </w:r>
                      </w:p>
                    </w:tc>
                    <w:tc>
                      <w:tcPr>
                        <w:tcW w:w="901" w:type="dxa"/>
                        <w:gridSpan w:val="2"/>
                        <w:tcBorders>
                          <w:top w:val="nil"/>
                          <w:left w:val="nil"/>
                          <w:bottom w:val="single" w:sz="4" w:space="0" w:color="auto"/>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0.00%</w:t>
                        </w:r>
                      </w:p>
                    </w:tc>
                    <w:tc>
                      <w:tcPr>
                        <w:tcW w:w="1417" w:type="dxa"/>
                        <w:tcBorders>
                          <w:top w:val="nil"/>
                          <w:left w:val="nil"/>
                          <w:bottom w:val="single" w:sz="4" w:space="0" w:color="auto"/>
                          <w:right w:val="nil"/>
                        </w:tcBorders>
                        <w:vAlign w:val="center"/>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6.65</w:t>
                        </w:r>
                      </w:p>
                    </w:tc>
                    <w:tc>
                      <w:tcPr>
                        <w:tcW w:w="833" w:type="dxa"/>
                        <w:tcBorders>
                          <w:top w:val="nil"/>
                          <w:left w:val="nil"/>
                          <w:bottom w:val="single" w:sz="4" w:space="0" w:color="auto"/>
                          <w:right w:val="nil"/>
                        </w:tcBorders>
                        <w:shd w:val="clear" w:color="auto" w:fill="auto"/>
                        <w:noWrap/>
                        <w:vAlign w:val="center"/>
                        <w:hideMark/>
                      </w:tcPr>
                      <w:p w:rsidR="0066042D" w:rsidRPr="00373CA4" w:rsidRDefault="0066042D" w:rsidP="00613B31">
                        <w:pPr>
                          <w:autoSpaceDE w:val="0"/>
                          <w:autoSpaceDN w:val="0"/>
                          <w:adjustRightInd w:val="0"/>
                          <w:spacing w:after="0"/>
                          <w:jc w:val="center"/>
                          <w:rPr>
                            <w:color w:val="000000"/>
                            <w:sz w:val="20"/>
                            <w:szCs w:val="20"/>
                          </w:rPr>
                        </w:pPr>
                        <w:r w:rsidRPr="00373CA4">
                          <w:rPr>
                            <w:color w:val="000000"/>
                            <w:sz w:val="20"/>
                            <w:szCs w:val="20"/>
                          </w:rPr>
                          <w:t>0.01%</w:t>
                        </w:r>
                      </w:p>
                    </w:tc>
                    <w:tc>
                      <w:tcPr>
                        <w:tcW w:w="818" w:type="dxa"/>
                        <w:tcBorders>
                          <w:top w:val="nil"/>
                          <w:left w:val="nil"/>
                          <w:bottom w:val="single" w:sz="4" w:space="0" w:color="auto"/>
                          <w:right w:val="nil"/>
                        </w:tcBorders>
                        <w:shd w:val="clear" w:color="auto" w:fill="auto"/>
                        <w:noWrap/>
                        <w:vAlign w:val="center"/>
                        <w:hideMark/>
                      </w:tcPr>
                      <w:p w:rsidR="0066042D" w:rsidRPr="00373CA4" w:rsidRDefault="0066042D" w:rsidP="00613B31">
                        <w:pPr>
                          <w:spacing w:after="0"/>
                          <w:jc w:val="center"/>
                          <w:rPr>
                            <w:rFonts w:eastAsia="Times New Roman"/>
                            <w:color w:val="000000"/>
                            <w:sz w:val="20"/>
                            <w:szCs w:val="20"/>
                          </w:rPr>
                        </w:pPr>
                        <w:r w:rsidRPr="00373CA4">
                          <w:rPr>
                            <w:rFonts w:eastAsia="Times New Roman"/>
                            <w:color w:val="000000"/>
                            <w:sz w:val="20"/>
                            <w:szCs w:val="20"/>
                          </w:rPr>
                          <w:t>0.72</w:t>
                        </w:r>
                      </w:p>
                    </w:tc>
                  </w:tr>
                </w:tbl>
                <w:p w:rsidR="0066042D" w:rsidRDefault="0066042D" w:rsidP="007B57B1">
                  <w:pPr>
                    <w:spacing w:before="120" w:after="0"/>
                    <w:rPr>
                      <w:sz w:val="20"/>
                      <w:szCs w:val="20"/>
                    </w:rPr>
                  </w:pPr>
                  <w:r>
                    <w:rPr>
                      <w:sz w:val="20"/>
                      <w:szCs w:val="20"/>
                    </w:rPr>
                    <w:t xml:space="preserve">*Further description of </w:t>
                  </w:r>
                  <w:r w:rsidRPr="00FB021F">
                    <w:rPr>
                      <w:sz w:val="20"/>
                      <w:szCs w:val="20"/>
                    </w:rPr>
                    <w:t xml:space="preserve">categories of expenditure are provided in </w:t>
                  </w:r>
                  <w:r w:rsidRPr="000E38FC">
                    <w:rPr>
                      <w:sz w:val="20"/>
                      <w:szCs w:val="20"/>
                    </w:rPr>
                    <w:t>Appendix</w:t>
                  </w:r>
                  <w:r>
                    <w:rPr>
                      <w:sz w:val="20"/>
                      <w:szCs w:val="20"/>
                    </w:rPr>
                    <w:t xml:space="preserve"> A</w:t>
                  </w:r>
                </w:p>
                <w:p w:rsidR="0066042D" w:rsidRPr="00FB021F" w:rsidRDefault="0066042D" w:rsidP="007B57B1">
                  <w:pPr>
                    <w:spacing w:before="60" w:after="0"/>
                    <w:ind w:left="227" w:hanging="227"/>
                    <w:rPr>
                      <w:sz w:val="20"/>
                      <w:szCs w:val="20"/>
                    </w:rPr>
                  </w:pPr>
                  <w:r>
                    <w:rPr>
                      <w:sz w:val="20"/>
                      <w:szCs w:val="20"/>
                    </w:rPr>
                    <w:t>** Percentage of total a</w:t>
                  </w:r>
                  <w:r w:rsidRPr="005371FB">
                    <w:rPr>
                      <w:sz w:val="20"/>
                      <w:szCs w:val="20"/>
                    </w:rPr>
                    <w:t>verage 1</w:t>
                  </w:r>
                  <w:r w:rsidRPr="00C40FFC">
                    <w:rPr>
                      <w:sz w:val="20"/>
                      <w:szCs w:val="20"/>
                      <w:vertAlign w:val="superscript"/>
                    </w:rPr>
                    <w:t>st</w:t>
                  </w:r>
                  <w:r w:rsidRPr="005371FB">
                    <w:rPr>
                      <w:sz w:val="20"/>
                      <w:szCs w:val="20"/>
                    </w:rPr>
                    <w:t xml:space="preserve"> and 2</w:t>
                  </w:r>
                  <w:r w:rsidRPr="00C40FFC">
                    <w:rPr>
                      <w:sz w:val="20"/>
                      <w:szCs w:val="20"/>
                      <w:vertAlign w:val="superscript"/>
                    </w:rPr>
                    <w:t>nd</w:t>
                  </w:r>
                  <w:r>
                    <w:rPr>
                      <w:sz w:val="20"/>
                      <w:szCs w:val="20"/>
                    </w:rPr>
                    <w:t xml:space="preserve"> year prior to d</w:t>
                  </w:r>
                  <w:r w:rsidRPr="005371FB">
                    <w:rPr>
                      <w:sz w:val="20"/>
                      <w:szCs w:val="20"/>
                    </w:rPr>
                    <w:t>eat</w:t>
                  </w:r>
                  <w:r>
                    <w:rPr>
                      <w:sz w:val="20"/>
                      <w:szCs w:val="20"/>
                    </w:rPr>
                    <w:t>h c</w:t>
                  </w:r>
                  <w:r w:rsidRPr="005371FB">
                    <w:rPr>
                      <w:sz w:val="20"/>
                      <w:szCs w:val="20"/>
                    </w:rPr>
                    <w:t xml:space="preserve">osts consumed by each </w:t>
                  </w:r>
                  <w:r>
                    <w:rPr>
                      <w:sz w:val="20"/>
                      <w:szCs w:val="20"/>
                    </w:rPr>
                    <w:t>category of e</w:t>
                  </w:r>
                  <w:r w:rsidRPr="005371FB">
                    <w:rPr>
                      <w:sz w:val="20"/>
                      <w:szCs w:val="20"/>
                    </w:rPr>
                    <w:t>xpenditure</w:t>
                  </w:r>
                </w:p>
              </w:txbxContent>
            </v:textbox>
            <w10:wrap type="through"/>
          </v:shape>
        </w:pict>
      </w:r>
      <w:r w:rsidR="007B57B1">
        <w:t xml:space="preserve">Table </w:t>
      </w:r>
      <w:fldSimple w:instr=" SEQ Table \* ARABIC ">
        <w:r w:rsidR="007B57B1">
          <w:rPr>
            <w:noProof/>
          </w:rPr>
          <w:t>2</w:t>
        </w:r>
      </w:fldSimple>
      <w:r w:rsidR="007B57B1" w:rsidRPr="00EC4189">
        <w:t xml:space="preserve">: </w:t>
      </w:r>
      <w:r w:rsidR="007B57B1">
        <w:t>Proportion of a</w:t>
      </w:r>
      <w:r w:rsidR="007B57B1" w:rsidRPr="00EC4189">
        <w:t xml:space="preserve">verage </w:t>
      </w:r>
      <w:r w:rsidR="007B57B1">
        <w:t xml:space="preserve">claimed amounts </w:t>
      </w:r>
      <w:r w:rsidR="007B57B1" w:rsidRPr="00EC4189">
        <w:t>in the 1</w:t>
      </w:r>
      <w:r w:rsidR="007B57B1" w:rsidRPr="00DC21D4">
        <w:rPr>
          <w:vertAlign w:val="superscript"/>
        </w:rPr>
        <w:t>st</w:t>
      </w:r>
      <w:r w:rsidR="007B57B1" w:rsidRPr="00EC4189">
        <w:t xml:space="preserve"> and 2</w:t>
      </w:r>
      <w:r w:rsidR="007B57B1" w:rsidRPr="00DC21D4">
        <w:rPr>
          <w:vertAlign w:val="superscript"/>
        </w:rPr>
        <w:t>nd</w:t>
      </w:r>
      <w:r w:rsidR="007B57B1" w:rsidRPr="00EC4189">
        <w:t xml:space="preserve"> </w:t>
      </w:r>
      <w:r w:rsidR="007B57B1">
        <w:t>years p</w:t>
      </w:r>
      <w:r w:rsidR="007B57B1" w:rsidRPr="00EC4189">
        <w:t xml:space="preserve">rior to </w:t>
      </w:r>
      <w:r w:rsidR="007B57B1">
        <w:t>d</w:t>
      </w:r>
      <w:r w:rsidR="007B57B1" w:rsidRPr="00EC4189">
        <w:t xml:space="preserve">eath according to </w:t>
      </w:r>
      <w:r w:rsidR="007B57B1">
        <w:t>c</w:t>
      </w:r>
      <w:r w:rsidR="007B57B1" w:rsidRPr="00EC4189">
        <w:t xml:space="preserve">ategory of </w:t>
      </w:r>
      <w:r w:rsidR="007B57B1">
        <w:t>e</w:t>
      </w:r>
      <w:r w:rsidR="007B57B1" w:rsidRPr="00EC4189">
        <w:t xml:space="preserve">xpenditure as well as the </w:t>
      </w:r>
      <w:r w:rsidR="007B57B1">
        <w:t>r</w:t>
      </w:r>
      <w:r w:rsidR="007B57B1" w:rsidRPr="00EC4189">
        <w:t xml:space="preserve">atios between the </w:t>
      </w:r>
      <w:r w:rsidR="007B57B1">
        <w:t>a</w:t>
      </w:r>
      <w:r w:rsidR="007B57B1" w:rsidRPr="00EC4189">
        <w:t xml:space="preserve">verage </w:t>
      </w:r>
      <w:r w:rsidR="007B57B1">
        <w:t>claimed amounts</w:t>
      </w:r>
    </w:p>
    <w:p w:rsidR="007B57B1" w:rsidRDefault="007B57B1" w:rsidP="00AD0700">
      <w:pPr>
        <w:jc w:val="both"/>
        <w:rPr>
          <w:color w:val="000000"/>
          <w:spacing w:val="-3"/>
          <w:szCs w:val="24"/>
        </w:rPr>
      </w:pPr>
      <w:r>
        <w:rPr>
          <w:w w:val="106"/>
        </w:rPr>
        <w:t xml:space="preserve">The </w:t>
      </w:r>
      <w:r>
        <w:t xml:space="preserve">dominant influence that hospital expenditure has on the last-year-of-life costs is </w:t>
      </w:r>
      <w:r>
        <w:rPr>
          <w:spacing w:val="-3"/>
        </w:rPr>
        <w:t xml:space="preserve">unmistakeable: almost 60% of the average total claimed amount in the last-year-of-life </w:t>
      </w:r>
      <w:r>
        <w:rPr>
          <w:spacing w:val="-4"/>
        </w:rPr>
        <w:t xml:space="preserve">is for the reimbursement of hospital care. High hospital expenditure is consistent with results obtained in Medicare research </w:t>
      </w:r>
      <w:r w:rsidR="009040E7">
        <w:rPr>
          <w:spacing w:val="-4"/>
        </w:rPr>
        <w:fldChar w:fldCharType="begin">
          <w:fldData xml:space="preserve">PEVuZE5vdGU+PENpdGU+PEF1dGhvcj5NY0NhbGw8L0F1dGhvcj48WWVhcj4xOTg0PC9ZZWFyPjxS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</w:fldData>
        </w:fldChar>
      </w:r>
      <w:r>
        <w:rPr>
          <w:spacing w:val="-4"/>
        </w:rPr>
        <w:instrText xml:space="preserve"> ADDIN EN.CITE </w:instrText>
      </w:r>
      <w:r w:rsidR="009040E7">
        <w:rPr>
          <w:spacing w:val="-4"/>
        </w:rPr>
        <w:fldChar w:fldCharType="begin">
          <w:fldData xml:space="preserve">PEVuZE5vdGU+PENpdGU+PEF1dGhvcj5NY0NhbGw8L0F1dGhvcj48WWVhcj4xOTg0PC9ZZWFyPjxS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</w:fldData>
        </w:fldChar>
      </w:r>
      <w:r>
        <w:rPr>
          <w:spacing w:val="-4"/>
        </w:rPr>
        <w:instrText xml:space="preserve"> ADDIN EN.CITE.DATA </w:instrText>
      </w:r>
      <w:r w:rsidR="009040E7">
        <w:rPr>
          <w:spacing w:val="-4"/>
        </w:rPr>
      </w:r>
      <w:r w:rsidR="009040E7">
        <w:rPr>
          <w:spacing w:val="-4"/>
        </w:rPr>
        <w:fldChar w:fldCharType="end"/>
      </w:r>
      <w:r w:rsidR="009040E7">
        <w:rPr>
          <w:spacing w:val="-4"/>
        </w:rPr>
      </w:r>
      <w:r w:rsidR="009040E7">
        <w:rPr>
          <w:spacing w:val="-4"/>
        </w:rPr>
        <w:fldChar w:fldCharType="separate"/>
      </w:r>
      <w:r>
        <w:rPr>
          <w:noProof/>
          <w:spacing w:val="-4"/>
        </w:rPr>
        <w:t>(</w:t>
      </w:r>
      <w:hyperlink w:anchor="_ENREF_1" w:tooltip="Alemayehu, 2004 #6" w:history="1">
        <w:r>
          <w:rPr>
            <w:noProof/>
            <w:spacing w:val="-4"/>
          </w:rPr>
          <w:t>Alemayehu &amp; Warner, 2004</w:t>
        </w:r>
      </w:hyperlink>
      <w:proofErr w:type="gramStart"/>
      <w:r>
        <w:rPr>
          <w:noProof/>
          <w:spacing w:val="-4"/>
        </w:rPr>
        <w:t xml:space="preserve">; </w:t>
      </w:r>
      <w:hyperlink w:anchor="_ENREF_13" w:tooltip="Lubitz, 2010 #16" w:history="1">
        <w:r>
          <w:rPr>
            <w:noProof/>
            <w:spacing w:val="-4"/>
          </w:rPr>
          <w:t>Lubitz &amp; Riley, 2010</w:t>
        </w:r>
      </w:hyperlink>
      <w:r>
        <w:rPr>
          <w:noProof/>
          <w:spacing w:val="-4"/>
        </w:rPr>
        <w:t>;</w:t>
      </w:r>
      <w:proofErr w:type="gramEnd"/>
      <w:r>
        <w:rPr>
          <w:noProof/>
          <w:spacing w:val="-4"/>
        </w:rPr>
        <w:t xml:space="preserve"> </w:t>
      </w:r>
      <w:hyperlink w:anchor="_ENREF_14" w:tooltip="McCall, 1984 #18" w:history="1">
        <w:r>
          <w:rPr>
            <w:noProof/>
            <w:spacing w:val="-4"/>
          </w:rPr>
          <w:t>McCall, 1984</w:t>
        </w:r>
      </w:hyperlink>
      <w:r>
        <w:rPr>
          <w:noProof/>
          <w:spacing w:val="-4"/>
        </w:rPr>
        <w:t>)</w:t>
      </w:r>
      <w:r w:rsidR="009040E7">
        <w:rPr>
          <w:spacing w:val="-4"/>
        </w:rPr>
        <w:fldChar w:fldCharType="end"/>
      </w:r>
      <w:r>
        <w:rPr>
          <w:spacing w:val="-4"/>
        </w:rPr>
        <w:t xml:space="preserve">. </w:t>
      </w:r>
      <w:r>
        <w:rPr>
          <w:spacing w:val="-1"/>
        </w:rPr>
        <w:t xml:space="preserve">The other significant expenditures observable are costs relating to medical specialists, radiation/oncology, pathology and auxiliary. Radiation/oncology accounts for 12.03% of the claimed amount in the second last year of life. </w:t>
      </w:r>
      <w:r>
        <w:rPr>
          <w:color w:val="000000"/>
          <w:spacing w:val="-4"/>
          <w:szCs w:val="24"/>
        </w:rPr>
        <w:t xml:space="preserve">Hospital costs, pathology and auxiliary costs held the </w:t>
      </w:r>
      <w:r>
        <w:rPr>
          <w:color w:val="000000"/>
          <w:szCs w:val="24"/>
        </w:rPr>
        <w:t xml:space="preserve">greatest responsibility for the large jump in average costs between the first and </w:t>
      </w:r>
      <w:r>
        <w:rPr>
          <w:color w:val="000000"/>
          <w:spacing w:val="-3"/>
          <w:szCs w:val="24"/>
        </w:rPr>
        <w:t xml:space="preserve">second last years of life. </w:t>
      </w:r>
    </w:p>
    <w:p w:rsidR="007B57B1" w:rsidRPr="00F26530" w:rsidRDefault="00625779" w:rsidP="007B57B1">
      <w:pPr>
        <w:rPr>
          <w:caps/>
        </w:rPr>
      </w:pPr>
      <w:r>
        <w:rPr>
          <w:caps/>
        </w:rPr>
        <w:lastRenderedPageBreak/>
        <w:t>6</w:t>
      </w:r>
      <w:r w:rsidR="007B57B1" w:rsidRPr="00F26530">
        <w:rPr>
          <w:caps/>
        </w:rPr>
        <w:t xml:space="preserve">.1.3 Analysis of Average Costs in the Last Year of Life according to RUB Value </w:t>
      </w:r>
    </w:p>
    <w:p w:rsidR="007B57B1" w:rsidRDefault="007B57B1" w:rsidP="007C7EB2">
      <w:pPr>
        <w:jc w:val="both"/>
        <w:rPr>
          <w:w w:val="102"/>
        </w:rPr>
      </w:pPr>
      <w:r>
        <w:t xml:space="preserve">This analysis divides the last-year-of-life costs according to beneficiaries’ RUB </w:t>
      </w:r>
      <w:r>
        <w:rPr>
          <w:spacing w:val="-2"/>
        </w:rPr>
        <w:t xml:space="preserve">value. The average last-year-of-life cost for each RUB value can be seen in Table </w:t>
      </w:r>
      <w:r>
        <w:rPr>
          <w:w w:val="102"/>
        </w:rPr>
        <w:t xml:space="preserve">3.  An example of a Value 1 RUB is eye and dental treatments, whilst asthma is an example of a Value 2 RUB value </w:t>
      </w:r>
      <w:r w:rsidR="009040E7">
        <w:rPr>
          <w:w w:val="102"/>
        </w:rPr>
        <w:fldChar w:fldCharType="begin"/>
      </w:r>
      <w:r>
        <w:rPr>
          <w:w w:val="102"/>
        </w:rPr>
        <w:instrText xml:space="preserve"> ADDIN EN.CITE &lt;EndNote&gt;&lt;Cite&gt;&lt;Author&gt;Johns Hopkins Bloomberg School of Public Health&lt;/Author&gt;&lt;Year&gt;2009&lt;/Year&gt;&lt;RecNum&gt;38&lt;/RecNum&gt;&lt;DisplayText&gt;(Johns Hopkins Bloomberg School of Public Health, 2009)&lt;/DisplayText&gt;&lt;record&gt;&lt;rec-number&gt;38&lt;/rec-number&gt;&lt;foreign-keys&gt;&lt;key app="EN" db-id="x2dxrtfwlt0dd3erpz9va5vq5p5xret9aw5d"&gt;38&lt;/key&gt;&lt;/foreign-keys&gt;&lt;ref-type name="Web Page"&gt;12&lt;/ref-type&gt;&lt;contributors&gt;&lt;authors&gt;&lt;author&gt;Johns Hopkins Bloomberg School of Public Health,&lt;/author&gt;&lt;/authors&gt;&lt;/contributors&gt;&lt;titles&gt;&lt;title&gt;The Johns Hopkins ACG System Technical Reference Guide Version 9.0&lt;/title&gt;&lt;/titles&gt;&lt;volume&gt;2011&lt;/volume&gt;&lt;number&gt;31 August&lt;/number&gt;&lt;dates&gt;&lt;year&gt;2009&lt;/year&gt;&lt;/dates&gt;&lt;urls&gt;&lt;related-urls&gt;&lt;url&gt;http://www.healthpartners.com/ucm/groups/public/@hp/@public/documents/documents/dev_057914.pdf&lt;/url&gt;&lt;/related-urls&gt;&lt;/urls&gt;&lt;/record&gt;&lt;/Cite&gt;&lt;/EndNote&gt;</w:instrText>
      </w:r>
      <w:r w:rsidR="009040E7">
        <w:rPr>
          <w:w w:val="102"/>
        </w:rPr>
        <w:fldChar w:fldCharType="separate"/>
      </w:r>
      <w:r>
        <w:rPr>
          <w:noProof/>
          <w:w w:val="102"/>
        </w:rPr>
        <w:t>(</w:t>
      </w:r>
      <w:hyperlink w:anchor="_ENREF_10" w:tooltip="Johns Hopkins Bloomberg School of Public Health, 2009 #38" w:history="1">
        <w:r>
          <w:rPr>
            <w:noProof/>
            <w:w w:val="102"/>
          </w:rPr>
          <w:t>Johns Hopkins Bloomberg School of Public Health, 2009</w:t>
        </w:r>
      </w:hyperlink>
      <w:r>
        <w:rPr>
          <w:noProof/>
          <w:w w:val="102"/>
        </w:rPr>
        <w:t>)</w:t>
      </w:r>
      <w:r w:rsidR="009040E7">
        <w:rPr>
          <w:w w:val="102"/>
        </w:rPr>
        <w:fldChar w:fldCharType="end"/>
      </w:r>
      <w:r>
        <w:rPr>
          <w:w w:val="102"/>
        </w:rPr>
        <w:t xml:space="preserve">. </w:t>
      </w:r>
    </w:p>
    <w:p w:rsidR="007B57B1" w:rsidRPr="00AD0700" w:rsidRDefault="0066042D" w:rsidP="00AD0700">
      <w:pPr>
        <w:pStyle w:val="Caption"/>
      </w:pPr>
      <w:r>
        <w:rPr>
          <w:noProof/>
          <w:lang w:val="en-US" w:eastAsia="en-US"/>
        </w:rPr>
        <w:pict>
          <v:shape id="Text Box 8" o:spid="_x0000_s1029" type="#_x0000_t202" style="position:absolute;margin-left:6.15pt;margin-top:29.2pt;width:437pt;height:138.35pt;z-index:251771904;visibility:visible;mso-width-relative:margin;mso-height-relative:margin" wrapcoords="-37 0 -37 21488 21600 21488 21600 0 -3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" stroked="f">
            <v:textbox style="mso-next-textbox:#Text Box 8" inset=",0">
              <w:txbxContent>
                <w:tbl>
                  <w:tblPr>
                    <w:tblW w:w="8068" w:type="dxa"/>
                    <w:tblInd w:w="108" w:type="dxa"/>
                    <w:tblCellMar>
                      <w:left w:w="57" w:type="dxa"/>
                      <w:right w:w="57" w:type="dxa"/>
                    </w:tblCellMar>
                    <w:tblLook w:val="04A0" w:firstRow="1" w:lastRow="0" w:firstColumn="1" w:lastColumn="0" w:noHBand="0" w:noVBand="1"/>
                  </w:tblPr>
                  <w:tblGrid>
                    <w:gridCol w:w="1367"/>
                    <w:gridCol w:w="142"/>
                    <w:gridCol w:w="141"/>
                    <w:gridCol w:w="851"/>
                    <w:gridCol w:w="992"/>
                    <w:gridCol w:w="1134"/>
                    <w:gridCol w:w="1134"/>
                    <w:gridCol w:w="1134"/>
                    <w:gridCol w:w="1173"/>
                  </w:tblGrid>
                  <w:tr w:rsidR="0066042D" w:rsidRPr="004E478D" w:rsidTr="00613B31">
                    <w:trPr>
                      <w:trHeight w:val="300"/>
                    </w:trPr>
                    <w:tc>
                      <w:tcPr>
                        <w:tcW w:w="1509" w:type="dxa"/>
                        <w:gridSpan w:val="2"/>
                        <w:tcBorders>
                          <w:top w:val="single" w:sz="4" w:space="0" w:color="auto"/>
                          <w:left w:val="nil"/>
                          <w:bottom w:val="nil"/>
                          <w:right w:val="nil"/>
                        </w:tcBorders>
                        <w:shd w:val="clear" w:color="auto" w:fill="auto"/>
                        <w:noWrap/>
                        <w:vAlign w:val="bottom"/>
                        <w:hideMark/>
                      </w:tcPr>
                      <w:p w:rsidR="0066042D" w:rsidRPr="004E478D" w:rsidRDefault="0066042D" w:rsidP="00613B31">
                        <w:pPr>
                          <w:spacing w:after="0"/>
                          <w:rPr>
                            <w:rFonts w:ascii="Calibri" w:eastAsia="Times New Roman" w:hAnsi="Calibri" w:cs="Calibri"/>
                            <w:color w:val="000000"/>
                          </w:rPr>
                        </w:pPr>
                      </w:p>
                    </w:tc>
                    <w:tc>
                      <w:tcPr>
                        <w:tcW w:w="6559" w:type="dxa"/>
                        <w:gridSpan w:val="7"/>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ind w:left="-630"/>
                          <w:jc w:val="center"/>
                          <w:rPr>
                            <w:rFonts w:eastAsia="Times New Roman"/>
                            <w:i/>
                            <w:color w:val="000000"/>
                          </w:rPr>
                        </w:pPr>
                        <w:r>
                          <w:rPr>
                            <w:rFonts w:eastAsia="Times New Roman"/>
                            <w:i/>
                            <w:color w:val="000000"/>
                          </w:rPr>
                          <w:t xml:space="preserve">         </w:t>
                        </w:r>
                        <w:r w:rsidRPr="00573A1A">
                          <w:rPr>
                            <w:rFonts w:eastAsia="Times New Roman"/>
                            <w:i/>
                            <w:color w:val="000000"/>
                          </w:rPr>
                          <w:t>RUBs</w:t>
                        </w:r>
                        <w:r>
                          <w:rPr>
                            <w:rFonts w:eastAsia="Times New Roman"/>
                            <w:i/>
                            <w:color w:val="000000"/>
                          </w:rPr>
                          <w:t>*</w:t>
                        </w:r>
                      </w:p>
                    </w:tc>
                  </w:tr>
                  <w:tr w:rsidR="0066042D" w:rsidRPr="004E478D" w:rsidTr="00613B31">
                    <w:trPr>
                      <w:trHeight w:val="300"/>
                    </w:trPr>
                    <w:tc>
                      <w:tcPr>
                        <w:tcW w:w="1650" w:type="dxa"/>
                        <w:gridSpan w:val="3"/>
                        <w:tcBorders>
                          <w:top w:val="nil"/>
                          <w:left w:val="nil"/>
                          <w:bottom w:val="single" w:sz="4" w:space="0" w:color="auto"/>
                          <w:right w:val="nil"/>
                        </w:tcBorders>
                        <w:shd w:val="clear" w:color="auto" w:fill="auto"/>
                        <w:noWrap/>
                        <w:vAlign w:val="bottom"/>
                        <w:hideMark/>
                      </w:tcPr>
                      <w:p w:rsidR="0066042D" w:rsidRPr="004E478D" w:rsidRDefault="0066042D" w:rsidP="00613B31">
                        <w:pPr>
                          <w:spacing w:after="0"/>
                          <w:rPr>
                            <w:rFonts w:eastAsia="Times New Roman"/>
                            <w:color w:val="000000"/>
                          </w:rPr>
                        </w:pPr>
                      </w:p>
                    </w:tc>
                    <w:tc>
                      <w:tcPr>
                        <w:tcW w:w="851" w:type="dxa"/>
                        <w:tcBorders>
                          <w:top w:val="single" w:sz="4" w:space="0" w:color="auto"/>
                          <w:left w:val="nil"/>
                          <w:bottom w:val="single" w:sz="4" w:space="0" w:color="auto"/>
                          <w:right w:val="nil"/>
                        </w:tcBorders>
                        <w:shd w:val="clear" w:color="auto" w:fill="auto"/>
                        <w:noWrap/>
                        <w:vAlign w:val="bottom"/>
                        <w:hideMark/>
                      </w:tcPr>
                      <w:p w:rsidR="0066042D" w:rsidRPr="004E478D" w:rsidRDefault="0066042D" w:rsidP="00613B31">
                        <w:pPr>
                          <w:spacing w:after="0"/>
                          <w:ind w:left="-896" w:firstLine="602"/>
                          <w:jc w:val="center"/>
                          <w:rPr>
                            <w:rFonts w:eastAsia="Times New Roman"/>
                            <w:i/>
                            <w:color w:val="000000"/>
                          </w:rPr>
                        </w:pPr>
                        <w:r w:rsidRPr="004E478D">
                          <w:rPr>
                            <w:rFonts w:eastAsia="Times New Roman"/>
                            <w:i/>
                            <w:color w:val="000000"/>
                          </w:rPr>
                          <w:t>0</w:t>
                        </w:r>
                      </w:p>
                    </w:tc>
                    <w:tc>
                      <w:tcPr>
                        <w:tcW w:w="992" w:type="dxa"/>
                        <w:tcBorders>
                          <w:top w:val="single" w:sz="4" w:space="0" w:color="auto"/>
                          <w:left w:val="nil"/>
                          <w:bottom w:val="single" w:sz="4" w:space="0" w:color="auto"/>
                          <w:right w:val="nil"/>
                        </w:tcBorders>
                        <w:shd w:val="clear" w:color="auto" w:fill="auto"/>
                        <w:noWrap/>
                        <w:vAlign w:val="bottom"/>
                        <w:hideMark/>
                      </w:tcPr>
                      <w:p w:rsidR="0066042D" w:rsidRPr="004E478D" w:rsidRDefault="0066042D" w:rsidP="00613B31">
                        <w:pPr>
                          <w:spacing w:after="0"/>
                          <w:ind w:right="-57"/>
                          <w:jc w:val="center"/>
                          <w:rPr>
                            <w:rFonts w:eastAsia="Times New Roman"/>
                            <w:i/>
                            <w:color w:val="000000"/>
                          </w:rPr>
                        </w:pPr>
                        <w:r w:rsidRPr="004E478D">
                          <w:rPr>
                            <w:rFonts w:eastAsia="Times New Roman"/>
                            <w:i/>
                            <w:color w:val="000000"/>
                          </w:rPr>
                          <w:t>1</w:t>
                        </w:r>
                      </w:p>
                    </w:tc>
                    <w:tc>
                      <w:tcPr>
                        <w:tcW w:w="1134" w:type="dxa"/>
                        <w:tcBorders>
                          <w:top w:val="single" w:sz="4" w:space="0" w:color="auto"/>
                          <w:left w:val="nil"/>
                          <w:bottom w:val="single" w:sz="4" w:space="0" w:color="auto"/>
                          <w:right w:val="nil"/>
                        </w:tcBorders>
                        <w:shd w:val="clear" w:color="auto" w:fill="auto"/>
                        <w:noWrap/>
                        <w:vAlign w:val="bottom"/>
                        <w:hideMark/>
                      </w:tcPr>
                      <w:p w:rsidR="0066042D" w:rsidRPr="004E478D" w:rsidRDefault="0066042D" w:rsidP="00613B31">
                        <w:pPr>
                          <w:spacing w:after="0"/>
                          <w:ind w:right="81"/>
                          <w:jc w:val="center"/>
                          <w:rPr>
                            <w:rFonts w:eastAsia="Times New Roman"/>
                            <w:i/>
                            <w:color w:val="000000"/>
                          </w:rPr>
                        </w:pPr>
                        <w:r>
                          <w:rPr>
                            <w:rFonts w:eastAsia="Times New Roman"/>
                            <w:i/>
                            <w:color w:val="000000"/>
                          </w:rPr>
                          <w:t xml:space="preserve">  </w:t>
                        </w:r>
                        <w:r w:rsidRPr="004E478D">
                          <w:rPr>
                            <w:rFonts w:eastAsia="Times New Roman"/>
                            <w:i/>
                            <w:color w:val="000000"/>
                          </w:rPr>
                          <w:t>2</w:t>
                        </w:r>
                      </w:p>
                    </w:tc>
                    <w:tc>
                      <w:tcPr>
                        <w:tcW w:w="1134" w:type="dxa"/>
                        <w:tcBorders>
                          <w:top w:val="single" w:sz="4" w:space="0" w:color="auto"/>
                          <w:left w:val="nil"/>
                          <w:bottom w:val="single" w:sz="4" w:space="0" w:color="auto"/>
                          <w:right w:val="nil"/>
                        </w:tcBorders>
                        <w:shd w:val="clear" w:color="auto" w:fill="auto"/>
                        <w:noWrap/>
                        <w:vAlign w:val="bottom"/>
                        <w:hideMark/>
                      </w:tcPr>
                      <w:p w:rsidR="0066042D" w:rsidRPr="004E478D" w:rsidRDefault="0066042D" w:rsidP="00613B31">
                        <w:pPr>
                          <w:tabs>
                            <w:tab w:val="left" w:pos="987"/>
                            <w:tab w:val="left" w:pos="1020"/>
                          </w:tabs>
                          <w:spacing w:after="0"/>
                          <w:ind w:right="33"/>
                          <w:jc w:val="center"/>
                          <w:rPr>
                            <w:rFonts w:eastAsia="Times New Roman"/>
                            <w:i/>
                            <w:color w:val="000000"/>
                          </w:rPr>
                        </w:pPr>
                        <w:r w:rsidRPr="004E478D">
                          <w:rPr>
                            <w:rFonts w:eastAsia="Times New Roman"/>
                            <w:i/>
                            <w:color w:val="000000"/>
                          </w:rPr>
                          <w:t>3</w:t>
                        </w:r>
                      </w:p>
                    </w:tc>
                    <w:tc>
                      <w:tcPr>
                        <w:tcW w:w="1134" w:type="dxa"/>
                        <w:tcBorders>
                          <w:top w:val="single" w:sz="4" w:space="0" w:color="auto"/>
                          <w:left w:val="nil"/>
                          <w:bottom w:val="single" w:sz="4" w:space="0" w:color="auto"/>
                          <w:right w:val="nil"/>
                        </w:tcBorders>
                        <w:shd w:val="clear" w:color="auto" w:fill="auto"/>
                        <w:noWrap/>
                        <w:vAlign w:val="bottom"/>
                        <w:hideMark/>
                      </w:tcPr>
                      <w:p w:rsidR="0066042D" w:rsidRPr="004E478D" w:rsidRDefault="0066042D" w:rsidP="00613B31">
                        <w:pPr>
                          <w:tabs>
                            <w:tab w:val="left" w:pos="1020"/>
                          </w:tabs>
                          <w:spacing w:after="0"/>
                          <w:ind w:right="33"/>
                          <w:jc w:val="center"/>
                          <w:rPr>
                            <w:rFonts w:eastAsia="Times New Roman"/>
                            <w:i/>
                            <w:color w:val="000000"/>
                          </w:rPr>
                        </w:pPr>
                        <w:r w:rsidRPr="00573A1A">
                          <w:rPr>
                            <w:rFonts w:eastAsia="Times New Roman"/>
                            <w:i/>
                            <w:color w:val="000000"/>
                          </w:rPr>
                          <w:t xml:space="preserve">  </w:t>
                        </w:r>
                        <w:r w:rsidRPr="004E478D">
                          <w:rPr>
                            <w:rFonts w:eastAsia="Times New Roman"/>
                            <w:i/>
                            <w:color w:val="000000"/>
                          </w:rPr>
                          <w:t>4</w:t>
                        </w:r>
                      </w:p>
                    </w:tc>
                    <w:tc>
                      <w:tcPr>
                        <w:tcW w:w="1173" w:type="dxa"/>
                        <w:tcBorders>
                          <w:top w:val="single" w:sz="4" w:space="0" w:color="auto"/>
                          <w:left w:val="nil"/>
                          <w:bottom w:val="single" w:sz="4" w:space="0" w:color="auto"/>
                          <w:right w:val="nil"/>
                        </w:tcBorders>
                        <w:shd w:val="clear" w:color="auto" w:fill="auto"/>
                        <w:noWrap/>
                        <w:vAlign w:val="bottom"/>
                        <w:hideMark/>
                      </w:tcPr>
                      <w:p w:rsidR="0066042D" w:rsidRPr="004E478D" w:rsidRDefault="0066042D" w:rsidP="00613B31">
                        <w:pPr>
                          <w:spacing w:after="0"/>
                          <w:jc w:val="center"/>
                          <w:rPr>
                            <w:rFonts w:eastAsia="Times New Roman"/>
                            <w:i/>
                            <w:color w:val="000000"/>
                          </w:rPr>
                        </w:pPr>
                        <w:r w:rsidRPr="004E478D">
                          <w:rPr>
                            <w:rFonts w:eastAsia="Times New Roman"/>
                            <w:i/>
                            <w:color w:val="000000"/>
                          </w:rPr>
                          <w:t>5</w:t>
                        </w:r>
                      </w:p>
                    </w:tc>
                  </w:tr>
                  <w:tr w:rsidR="0066042D" w:rsidRPr="004E478D" w:rsidTr="00613B31">
                    <w:trPr>
                      <w:trHeight w:val="617"/>
                    </w:trPr>
                    <w:tc>
                      <w:tcPr>
                        <w:tcW w:w="1367" w:type="dxa"/>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rPr>
                            <w:rFonts w:eastAsia="Times New Roman"/>
                            <w:color w:val="000000"/>
                          </w:rPr>
                        </w:pPr>
                        <w:r w:rsidRPr="00573A1A">
                          <w:rPr>
                            <w:rFonts w:eastAsia="Times New Roman"/>
                            <w:color w:val="000000"/>
                          </w:rPr>
                          <w:t>Average Cost</w:t>
                        </w:r>
                        <w:r w:rsidRPr="004E478D">
                          <w:rPr>
                            <w:rFonts w:eastAsia="Times New Roman"/>
                            <w:color w:val="000000"/>
                          </w:rPr>
                          <w:t xml:space="preserve"> </w:t>
                        </w:r>
                        <w:r w:rsidRPr="00573A1A">
                          <w:rPr>
                            <w:rFonts w:eastAsia="Times New Roman"/>
                            <w:color w:val="000000"/>
                          </w:rPr>
                          <w:t xml:space="preserve">  </w:t>
                        </w:r>
                        <w:r w:rsidRPr="004E478D">
                          <w:rPr>
                            <w:rFonts w:eastAsia="Times New Roman"/>
                            <w:color w:val="000000"/>
                          </w:rPr>
                          <w:t>(in ZAR)</w:t>
                        </w:r>
                      </w:p>
                    </w:tc>
                    <w:tc>
                      <w:tcPr>
                        <w:tcW w:w="1134" w:type="dxa"/>
                        <w:gridSpan w:val="3"/>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jc w:val="center"/>
                          <w:rPr>
                            <w:rFonts w:eastAsia="Times New Roman"/>
                            <w:color w:val="000000"/>
                            <w:sz w:val="21"/>
                            <w:szCs w:val="21"/>
                          </w:rPr>
                        </w:pPr>
                        <w:r>
                          <w:rPr>
                            <w:rFonts w:eastAsia="Times New Roman"/>
                            <w:color w:val="000000"/>
                            <w:sz w:val="21"/>
                            <w:szCs w:val="21"/>
                          </w:rPr>
                          <w:t>53 971.75</w:t>
                        </w:r>
                      </w:p>
                    </w:tc>
                    <w:tc>
                      <w:tcPr>
                        <w:tcW w:w="992" w:type="dxa"/>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jc w:val="center"/>
                          <w:rPr>
                            <w:rFonts w:eastAsia="Times New Roman"/>
                            <w:color w:val="000000"/>
                            <w:sz w:val="21"/>
                            <w:szCs w:val="21"/>
                          </w:rPr>
                        </w:pPr>
                        <w:r w:rsidRPr="00E1514A">
                          <w:rPr>
                            <w:rFonts w:eastAsia="Times New Roman"/>
                            <w:color w:val="000000"/>
                            <w:sz w:val="21"/>
                            <w:szCs w:val="21"/>
                          </w:rPr>
                          <w:t>95</w:t>
                        </w:r>
                        <w:r>
                          <w:rPr>
                            <w:rFonts w:eastAsia="Times New Roman"/>
                            <w:color w:val="000000"/>
                            <w:sz w:val="21"/>
                            <w:szCs w:val="21"/>
                          </w:rPr>
                          <w:t xml:space="preserve"> </w:t>
                        </w:r>
                        <w:r w:rsidRPr="00E1514A">
                          <w:rPr>
                            <w:rFonts w:eastAsia="Times New Roman"/>
                            <w:color w:val="000000"/>
                            <w:sz w:val="21"/>
                            <w:szCs w:val="21"/>
                          </w:rPr>
                          <w:t>500.56</w:t>
                        </w:r>
                      </w:p>
                    </w:tc>
                    <w:tc>
                      <w:tcPr>
                        <w:tcW w:w="1134" w:type="dxa"/>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jc w:val="center"/>
                          <w:rPr>
                            <w:rFonts w:eastAsia="Times New Roman"/>
                            <w:color w:val="000000"/>
                            <w:sz w:val="21"/>
                            <w:szCs w:val="21"/>
                          </w:rPr>
                        </w:pPr>
                        <w:r w:rsidRPr="00E1514A">
                          <w:rPr>
                            <w:rFonts w:eastAsia="Times New Roman"/>
                            <w:color w:val="000000"/>
                            <w:sz w:val="21"/>
                            <w:szCs w:val="21"/>
                          </w:rPr>
                          <w:t>101</w:t>
                        </w:r>
                        <w:r>
                          <w:rPr>
                            <w:rFonts w:eastAsia="Times New Roman"/>
                            <w:color w:val="000000"/>
                            <w:sz w:val="21"/>
                            <w:szCs w:val="21"/>
                          </w:rPr>
                          <w:t xml:space="preserve"> </w:t>
                        </w:r>
                        <w:r w:rsidRPr="00E1514A">
                          <w:rPr>
                            <w:rFonts w:eastAsia="Times New Roman"/>
                            <w:color w:val="000000"/>
                            <w:sz w:val="21"/>
                            <w:szCs w:val="21"/>
                          </w:rPr>
                          <w:t>852.64</w:t>
                        </w:r>
                      </w:p>
                    </w:tc>
                    <w:tc>
                      <w:tcPr>
                        <w:tcW w:w="1134" w:type="dxa"/>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jc w:val="center"/>
                          <w:rPr>
                            <w:rFonts w:eastAsia="Times New Roman"/>
                            <w:color w:val="000000"/>
                            <w:sz w:val="21"/>
                            <w:szCs w:val="21"/>
                          </w:rPr>
                        </w:pPr>
                        <w:r>
                          <w:rPr>
                            <w:rFonts w:eastAsia="Times New Roman"/>
                            <w:color w:val="000000"/>
                            <w:sz w:val="21"/>
                            <w:szCs w:val="21"/>
                          </w:rPr>
                          <w:t>146 373.79</w:t>
                        </w:r>
                      </w:p>
                    </w:tc>
                    <w:tc>
                      <w:tcPr>
                        <w:tcW w:w="1134" w:type="dxa"/>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jc w:val="center"/>
                          <w:rPr>
                            <w:rFonts w:eastAsia="Times New Roman"/>
                            <w:color w:val="000000"/>
                            <w:sz w:val="21"/>
                            <w:szCs w:val="21"/>
                          </w:rPr>
                        </w:pPr>
                        <w:r>
                          <w:rPr>
                            <w:rFonts w:eastAsia="Times New Roman"/>
                            <w:color w:val="000000"/>
                            <w:sz w:val="21"/>
                            <w:szCs w:val="21"/>
                          </w:rPr>
                          <w:t>189 305.70</w:t>
                        </w:r>
                      </w:p>
                    </w:tc>
                    <w:tc>
                      <w:tcPr>
                        <w:tcW w:w="1173" w:type="dxa"/>
                        <w:tcBorders>
                          <w:top w:val="single" w:sz="4" w:space="0" w:color="auto"/>
                          <w:left w:val="nil"/>
                          <w:bottom w:val="single" w:sz="4" w:space="0" w:color="auto"/>
                          <w:right w:val="nil"/>
                        </w:tcBorders>
                        <w:shd w:val="clear" w:color="auto" w:fill="auto"/>
                        <w:noWrap/>
                        <w:vAlign w:val="center"/>
                        <w:hideMark/>
                      </w:tcPr>
                      <w:p w:rsidR="0066042D" w:rsidRPr="004E478D" w:rsidRDefault="0066042D" w:rsidP="00613B31">
                        <w:pPr>
                          <w:spacing w:after="0"/>
                          <w:jc w:val="center"/>
                          <w:rPr>
                            <w:rFonts w:eastAsia="Times New Roman"/>
                            <w:b/>
                            <w:color w:val="000000"/>
                            <w:sz w:val="21"/>
                            <w:szCs w:val="21"/>
                          </w:rPr>
                        </w:pPr>
                        <w:r>
                          <w:rPr>
                            <w:rFonts w:eastAsia="Times New Roman"/>
                            <w:b/>
                            <w:color w:val="000000"/>
                            <w:sz w:val="21"/>
                            <w:szCs w:val="21"/>
                          </w:rPr>
                          <w:t>320 189.22</w:t>
                        </w:r>
                      </w:p>
                    </w:tc>
                  </w:tr>
                </w:tbl>
                <w:p w:rsidR="0066042D" w:rsidRDefault="0066042D" w:rsidP="007B57B1">
                  <w:pPr>
                    <w:spacing w:before="60" w:after="0"/>
                    <w:ind w:left="90"/>
                    <w:rPr>
                      <w:sz w:val="20"/>
                      <w:szCs w:val="20"/>
                    </w:rPr>
                  </w:pPr>
                  <w:r w:rsidRPr="000740BD">
                    <w:rPr>
                      <w:i/>
                      <w:sz w:val="20"/>
                      <w:szCs w:val="20"/>
                    </w:rPr>
                    <w:t>Notes:</w:t>
                  </w:r>
                  <w:r w:rsidRPr="008C006D">
                    <w:rPr>
                      <w:sz w:val="20"/>
                      <w:szCs w:val="20"/>
                    </w:rPr>
                    <w:t xml:space="preserve"> </w:t>
                  </w:r>
                  <w:r w:rsidRPr="008C006D">
                    <w:rPr>
                      <w:i/>
                      <w:sz w:val="20"/>
                      <w:szCs w:val="20"/>
                    </w:rPr>
                    <w:t>p</w:t>
                  </w:r>
                  <w:r>
                    <w:rPr>
                      <w:i/>
                      <w:sz w:val="20"/>
                      <w:szCs w:val="20"/>
                    </w:rPr>
                    <w:t xml:space="preserve"> </w:t>
                  </w:r>
                  <w:r w:rsidRPr="008C006D">
                    <w:rPr>
                      <w:sz w:val="20"/>
                      <w:szCs w:val="20"/>
                    </w:rPr>
                    <w:t>&lt;</w:t>
                  </w:r>
                  <w:r>
                    <w:rPr>
                      <w:sz w:val="20"/>
                      <w:szCs w:val="20"/>
                    </w:rPr>
                    <w:t xml:space="preserve"> 0</w:t>
                  </w:r>
                  <w:r w:rsidRPr="008C006D">
                    <w:rPr>
                      <w:sz w:val="20"/>
                      <w:szCs w:val="20"/>
                    </w:rPr>
                    <w:t>.01 for</w:t>
                  </w:r>
                  <w:r>
                    <w:rPr>
                      <w:sz w:val="20"/>
                      <w:szCs w:val="20"/>
                    </w:rPr>
                    <w:t xml:space="preserve"> all</w:t>
                  </w:r>
                  <w:r w:rsidRPr="008C006D">
                    <w:rPr>
                      <w:sz w:val="20"/>
                      <w:szCs w:val="20"/>
                    </w:rPr>
                    <w:t xml:space="preserve"> t-test</w:t>
                  </w:r>
                  <w:r>
                    <w:rPr>
                      <w:sz w:val="20"/>
                      <w:szCs w:val="20"/>
                    </w:rPr>
                    <w:t>s</w:t>
                  </w:r>
                  <w:r w:rsidRPr="008C006D">
                    <w:rPr>
                      <w:sz w:val="20"/>
                      <w:szCs w:val="20"/>
                    </w:rPr>
                    <w:t xml:space="preserve"> of difference</w:t>
                  </w:r>
                  <w:r>
                    <w:rPr>
                      <w:sz w:val="20"/>
                      <w:szCs w:val="20"/>
                    </w:rPr>
                    <w:t>s</w:t>
                  </w:r>
                  <w:r w:rsidRPr="008C006D">
                    <w:rPr>
                      <w:sz w:val="20"/>
                      <w:szCs w:val="20"/>
                    </w:rPr>
                    <w:t xml:space="preserve"> between average</w:t>
                  </w:r>
                  <w:r>
                    <w:rPr>
                      <w:sz w:val="20"/>
                      <w:szCs w:val="20"/>
                    </w:rPr>
                    <w:t xml:space="preserve"> last-year-of-life costs</w:t>
                  </w:r>
                  <w:r w:rsidRPr="008C006D">
                    <w:rPr>
                      <w:sz w:val="20"/>
                      <w:szCs w:val="20"/>
                    </w:rPr>
                    <w:t xml:space="preserve"> of the successive </w:t>
                  </w:r>
                  <w:r>
                    <w:rPr>
                      <w:sz w:val="20"/>
                      <w:szCs w:val="20"/>
                    </w:rPr>
                    <w:t>RUBs, except between RUBs 1 and 2.</w:t>
                  </w:r>
                </w:p>
                <w:p w:rsidR="0066042D" w:rsidRPr="000740BD" w:rsidRDefault="0066042D" w:rsidP="007B57B1">
                  <w:pPr>
                    <w:spacing w:before="60"/>
                    <w:rPr>
                      <w:sz w:val="20"/>
                      <w:szCs w:val="20"/>
                    </w:rPr>
                  </w:pPr>
                  <w:r>
                    <w:rPr>
                      <w:sz w:val="20"/>
                      <w:szCs w:val="20"/>
                    </w:rPr>
                    <w:t xml:space="preserve">  *Description of RUBs can be found above in Table 1. </w:t>
                  </w:r>
                </w:p>
              </w:txbxContent>
            </v:textbox>
            <w10:wrap type="through"/>
          </v:shape>
        </w:pict>
      </w:r>
      <w:r w:rsidR="007B57B1" w:rsidRPr="00B60668">
        <w:t xml:space="preserve">Table </w:t>
      </w:r>
      <w:fldSimple w:instr=" SEQ Table \* ARABIC ">
        <w:r w:rsidR="007B57B1">
          <w:rPr>
            <w:noProof/>
          </w:rPr>
          <w:t>3</w:t>
        </w:r>
      </w:fldSimple>
      <w:r w:rsidR="007B57B1" w:rsidRPr="00B60668">
        <w:t>: Average claimed amount in the last year of life according to RUB category</w:t>
      </w:r>
    </w:p>
    <w:p w:rsidR="007B57B1" w:rsidRDefault="007B57B1" w:rsidP="00AD0700">
      <w:pPr>
        <w:jc w:val="both"/>
        <w:rPr>
          <w:spacing w:val="-4"/>
        </w:rPr>
      </w:pPr>
      <w:r>
        <w:rPr>
          <w:w w:val="102"/>
        </w:rPr>
        <w:t xml:space="preserve">It is easily observable that average last-year-of-life costs rise with the RUB </w:t>
      </w:r>
      <w:bookmarkStart w:id="8" w:name="Pg20"/>
      <w:bookmarkEnd w:id="8"/>
      <w:r>
        <w:t xml:space="preserve">value. In particular, Value 5 RUB beneficiaries consume an enormous amount of </w:t>
      </w:r>
      <w:r>
        <w:rPr>
          <w:w w:val="102"/>
        </w:rPr>
        <w:t xml:space="preserve">medical expenditure. </w:t>
      </w:r>
    </w:p>
    <w:p w:rsidR="002B7516" w:rsidRPr="002B7516" w:rsidRDefault="00625779" w:rsidP="002B7516">
      <w:pPr>
        <w:rPr>
          <w:caps/>
        </w:rPr>
      </w:pPr>
      <w:r>
        <w:rPr>
          <w:caps/>
        </w:rPr>
        <w:t>6</w:t>
      </w:r>
      <w:r w:rsidR="007B57B1" w:rsidRPr="00F26530">
        <w:rPr>
          <w:caps/>
        </w:rPr>
        <w:t xml:space="preserve">.2 Analysis of Survivor and Decedent Costs </w:t>
      </w:r>
    </w:p>
    <w:p w:rsidR="002B7516" w:rsidRPr="002B7516" w:rsidRDefault="0066042D" w:rsidP="002B7516">
      <w:pPr>
        <w:pStyle w:val="Caption"/>
      </w:pPr>
      <w:r>
        <w:rPr>
          <w:noProof/>
          <w:lang w:val="en-US" w:eastAsia="en-US"/>
        </w:rPr>
        <w:pict>
          <v:shape id="Text Box 6" o:spid="_x0000_s1030" type="#_x0000_t202" style="position:absolute;margin-left:13.75pt;margin-top:46.2pt;width:422.85pt;height:289.35pt;z-index:251769856;visibility:visible;mso-width-relative:margin;mso-height-relative:margin" wrapcoords="-38 0 -38 21551 21600 21551 21600 0 -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" stroked="f">
            <v:textbox style="mso-next-textbox:#Text Box 6" inset=",1.5mm">
              <w:txbxContent>
                <w:tbl>
                  <w:tblPr>
                    <w:tblW w:w="8035" w:type="dxa"/>
                    <w:tblInd w:w="136" w:type="dxa"/>
                    <w:tblLook w:val="04A0" w:firstRow="1" w:lastRow="0" w:firstColumn="1" w:lastColumn="0" w:noHBand="0" w:noVBand="1"/>
                  </w:tblPr>
                  <w:tblGrid>
                    <w:gridCol w:w="2666"/>
                    <w:gridCol w:w="1417"/>
                    <w:gridCol w:w="1335"/>
                    <w:gridCol w:w="1358"/>
                    <w:gridCol w:w="1259"/>
                  </w:tblGrid>
                  <w:tr w:rsidR="0066042D" w:rsidRPr="00B64A46" w:rsidTr="00613B31">
                    <w:trPr>
                      <w:trHeight w:val="300"/>
                    </w:trPr>
                    <w:tc>
                      <w:tcPr>
                        <w:tcW w:w="2666" w:type="dxa"/>
                        <w:tcBorders>
                          <w:top w:val="single" w:sz="4" w:space="0" w:color="auto"/>
                          <w:left w:val="nil"/>
                          <w:bottom w:val="nil"/>
                          <w:right w:val="nil"/>
                        </w:tcBorders>
                        <w:shd w:val="clear" w:color="auto" w:fill="auto"/>
                        <w:noWrap/>
                        <w:vAlign w:val="bottom"/>
                        <w:hideMark/>
                      </w:tcPr>
                      <w:p w:rsidR="0066042D" w:rsidRPr="00B64A46" w:rsidRDefault="0066042D" w:rsidP="00613B31">
                        <w:pPr>
                          <w:spacing w:after="0"/>
                          <w:rPr>
                            <w:rFonts w:eastAsia="Times New Roman"/>
                            <w:color w:val="000000"/>
                          </w:rPr>
                        </w:pPr>
                      </w:p>
                    </w:tc>
                    <w:tc>
                      <w:tcPr>
                        <w:tcW w:w="5369" w:type="dxa"/>
                        <w:gridSpan w:val="4"/>
                        <w:tcBorders>
                          <w:top w:val="single" w:sz="4" w:space="0" w:color="auto"/>
                          <w:left w:val="nil"/>
                          <w:bottom w:val="single" w:sz="4" w:space="0" w:color="auto"/>
                          <w:right w:val="nil"/>
                        </w:tcBorders>
                        <w:shd w:val="clear" w:color="auto" w:fill="auto"/>
                        <w:noWrap/>
                        <w:vAlign w:val="center"/>
                        <w:hideMark/>
                      </w:tcPr>
                      <w:p w:rsidR="0066042D" w:rsidRPr="00B64A46" w:rsidRDefault="0066042D" w:rsidP="00613B31">
                        <w:pPr>
                          <w:spacing w:after="0"/>
                          <w:jc w:val="center"/>
                          <w:rPr>
                            <w:rFonts w:eastAsia="Times New Roman"/>
                            <w:i/>
                            <w:color w:val="000000"/>
                          </w:rPr>
                        </w:pPr>
                        <w:r>
                          <w:rPr>
                            <w:rFonts w:eastAsia="Times New Roman"/>
                            <w:i/>
                            <w:color w:val="000000"/>
                          </w:rPr>
                          <w:t>Year</w:t>
                        </w:r>
                      </w:p>
                    </w:tc>
                  </w:tr>
                  <w:tr w:rsidR="0066042D" w:rsidRPr="00B64A46" w:rsidTr="00613B31">
                    <w:trPr>
                      <w:trHeight w:val="300"/>
                    </w:trPr>
                    <w:tc>
                      <w:tcPr>
                        <w:tcW w:w="2666" w:type="dxa"/>
                        <w:tcBorders>
                          <w:top w:val="nil"/>
                          <w:left w:val="nil"/>
                          <w:bottom w:val="single" w:sz="4" w:space="0" w:color="auto"/>
                          <w:right w:val="nil"/>
                        </w:tcBorders>
                        <w:shd w:val="clear" w:color="auto" w:fill="auto"/>
                        <w:noWrap/>
                        <w:vAlign w:val="bottom"/>
                        <w:hideMark/>
                      </w:tcPr>
                      <w:p w:rsidR="0066042D" w:rsidRPr="00B64A46" w:rsidRDefault="0066042D" w:rsidP="00613B31">
                        <w:pPr>
                          <w:spacing w:after="0"/>
                          <w:rPr>
                            <w:rFonts w:eastAsia="Times New Roman"/>
                            <w:color w:val="000000"/>
                          </w:rPr>
                        </w:pPr>
                      </w:p>
                    </w:tc>
                    <w:tc>
                      <w:tcPr>
                        <w:tcW w:w="1417" w:type="dxa"/>
                        <w:tcBorders>
                          <w:top w:val="single" w:sz="4" w:space="0" w:color="auto"/>
                          <w:left w:val="nil"/>
                          <w:bottom w:val="single" w:sz="4" w:space="0" w:color="auto"/>
                          <w:right w:val="nil"/>
                        </w:tcBorders>
                        <w:shd w:val="clear" w:color="auto" w:fill="auto"/>
                        <w:noWrap/>
                        <w:vAlign w:val="bottom"/>
                        <w:hideMark/>
                      </w:tcPr>
                      <w:p w:rsidR="0066042D" w:rsidRPr="00B64A46" w:rsidRDefault="0066042D" w:rsidP="00613B31">
                        <w:pPr>
                          <w:spacing w:after="0"/>
                          <w:jc w:val="center"/>
                          <w:rPr>
                            <w:rFonts w:eastAsia="Times New Roman"/>
                            <w:i/>
                            <w:color w:val="000000"/>
                          </w:rPr>
                        </w:pPr>
                        <w:r w:rsidRPr="00B64A46">
                          <w:rPr>
                            <w:rFonts w:eastAsia="Times New Roman"/>
                            <w:i/>
                            <w:color w:val="000000"/>
                          </w:rPr>
                          <w:t>2008</w:t>
                        </w:r>
                      </w:p>
                    </w:tc>
                    <w:tc>
                      <w:tcPr>
                        <w:tcW w:w="1335" w:type="dxa"/>
                        <w:tcBorders>
                          <w:top w:val="single" w:sz="4" w:space="0" w:color="auto"/>
                          <w:left w:val="nil"/>
                          <w:bottom w:val="single" w:sz="4" w:space="0" w:color="auto"/>
                          <w:right w:val="nil"/>
                        </w:tcBorders>
                        <w:shd w:val="clear" w:color="auto" w:fill="auto"/>
                        <w:noWrap/>
                        <w:vAlign w:val="bottom"/>
                        <w:hideMark/>
                      </w:tcPr>
                      <w:p w:rsidR="0066042D" w:rsidRPr="00B64A46" w:rsidRDefault="0066042D" w:rsidP="00613B31">
                        <w:pPr>
                          <w:spacing w:after="0"/>
                          <w:jc w:val="center"/>
                          <w:rPr>
                            <w:rFonts w:eastAsia="Times New Roman"/>
                            <w:i/>
                            <w:color w:val="000000"/>
                          </w:rPr>
                        </w:pPr>
                        <w:r w:rsidRPr="00B64A46">
                          <w:rPr>
                            <w:rFonts w:eastAsia="Times New Roman"/>
                            <w:i/>
                            <w:color w:val="000000"/>
                          </w:rPr>
                          <w:t>2009</w:t>
                        </w:r>
                      </w:p>
                    </w:tc>
                    <w:tc>
                      <w:tcPr>
                        <w:tcW w:w="1358" w:type="dxa"/>
                        <w:tcBorders>
                          <w:top w:val="single" w:sz="4" w:space="0" w:color="auto"/>
                          <w:left w:val="nil"/>
                          <w:bottom w:val="single" w:sz="4" w:space="0" w:color="auto"/>
                          <w:right w:val="nil"/>
                        </w:tcBorders>
                        <w:shd w:val="clear" w:color="auto" w:fill="auto"/>
                        <w:noWrap/>
                        <w:vAlign w:val="bottom"/>
                        <w:hideMark/>
                      </w:tcPr>
                      <w:p w:rsidR="0066042D" w:rsidRPr="00B64A46" w:rsidRDefault="0066042D" w:rsidP="00613B31">
                        <w:pPr>
                          <w:spacing w:after="0"/>
                          <w:jc w:val="center"/>
                          <w:rPr>
                            <w:rFonts w:eastAsia="Times New Roman"/>
                            <w:i/>
                            <w:color w:val="000000"/>
                          </w:rPr>
                        </w:pPr>
                        <w:r w:rsidRPr="00B64A46">
                          <w:rPr>
                            <w:rFonts w:eastAsia="Times New Roman"/>
                            <w:i/>
                            <w:color w:val="000000"/>
                          </w:rPr>
                          <w:t>2010</w:t>
                        </w:r>
                      </w:p>
                    </w:tc>
                    <w:tc>
                      <w:tcPr>
                        <w:tcW w:w="1259" w:type="dxa"/>
                        <w:tcBorders>
                          <w:top w:val="single" w:sz="4" w:space="0" w:color="auto"/>
                          <w:left w:val="nil"/>
                          <w:bottom w:val="single" w:sz="4" w:space="0" w:color="auto"/>
                          <w:right w:val="nil"/>
                        </w:tcBorders>
                        <w:shd w:val="clear" w:color="auto" w:fill="auto"/>
                        <w:noWrap/>
                        <w:vAlign w:val="bottom"/>
                        <w:hideMark/>
                      </w:tcPr>
                      <w:p w:rsidR="0066042D" w:rsidRPr="00B64A46" w:rsidRDefault="0066042D" w:rsidP="00613B31">
                        <w:pPr>
                          <w:spacing w:after="0"/>
                          <w:jc w:val="center"/>
                          <w:rPr>
                            <w:rFonts w:eastAsia="Times New Roman"/>
                            <w:i/>
                            <w:color w:val="000000"/>
                          </w:rPr>
                        </w:pPr>
                        <w:r w:rsidRPr="00B64A46">
                          <w:rPr>
                            <w:rFonts w:eastAsia="Times New Roman"/>
                            <w:i/>
                            <w:color w:val="000000"/>
                          </w:rPr>
                          <w:t>2011</w:t>
                        </w:r>
                      </w:p>
                    </w:tc>
                  </w:tr>
                  <w:tr w:rsidR="0066042D" w:rsidRPr="00B64A46" w:rsidTr="00613B31">
                    <w:trPr>
                      <w:trHeight w:val="372"/>
                    </w:trPr>
                    <w:tc>
                      <w:tcPr>
                        <w:tcW w:w="2666" w:type="dxa"/>
                        <w:tcBorders>
                          <w:top w:val="single" w:sz="4" w:space="0" w:color="auto"/>
                          <w:left w:val="nil"/>
                          <w:bottom w:val="nil"/>
                          <w:right w:val="nil"/>
                        </w:tcBorders>
                        <w:shd w:val="clear" w:color="auto" w:fill="auto"/>
                        <w:noWrap/>
                        <w:vAlign w:val="center"/>
                        <w:hideMark/>
                      </w:tcPr>
                      <w:p w:rsidR="0066042D" w:rsidRPr="00B64A46" w:rsidRDefault="0066042D" w:rsidP="00613B31">
                        <w:pPr>
                          <w:spacing w:after="0"/>
                          <w:rPr>
                            <w:rFonts w:eastAsia="Times New Roman"/>
                            <w:color w:val="000000"/>
                          </w:rPr>
                        </w:pPr>
                        <w:r>
                          <w:rPr>
                            <w:rFonts w:eastAsia="Times New Roman"/>
                            <w:color w:val="000000"/>
                          </w:rPr>
                          <w:t>Percen</w:t>
                        </w:r>
                        <w:r w:rsidRPr="00B64A46">
                          <w:rPr>
                            <w:rFonts w:eastAsia="Times New Roman"/>
                            <w:color w:val="000000"/>
                          </w:rPr>
                          <w:t>tage</w:t>
                        </w:r>
                      </w:p>
                    </w:tc>
                    <w:tc>
                      <w:tcPr>
                        <w:tcW w:w="1417" w:type="dxa"/>
                        <w:tcBorders>
                          <w:top w:val="single" w:sz="4" w:space="0" w:color="auto"/>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3.93</w:t>
                        </w:r>
                        <w:r w:rsidRPr="00B64A46">
                          <w:rPr>
                            <w:rFonts w:eastAsia="Times New Roman"/>
                            <w:color w:val="000000"/>
                            <w:sz w:val="21"/>
                            <w:szCs w:val="21"/>
                          </w:rPr>
                          <w:t>%</w:t>
                        </w:r>
                      </w:p>
                    </w:tc>
                    <w:tc>
                      <w:tcPr>
                        <w:tcW w:w="1335" w:type="dxa"/>
                        <w:tcBorders>
                          <w:top w:val="single" w:sz="4" w:space="0" w:color="auto"/>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B64A46">
                          <w:rPr>
                            <w:rFonts w:eastAsia="Times New Roman"/>
                            <w:color w:val="000000"/>
                            <w:sz w:val="21"/>
                            <w:szCs w:val="21"/>
                          </w:rPr>
                          <w:t>5.23%</w:t>
                        </w:r>
                      </w:p>
                    </w:tc>
                    <w:tc>
                      <w:tcPr>
                        <w:tcW w:w="1358" w:type="dxa"/>
                        <w:tcBorders>
                          <w:top w:val="single" w:sz="4" w:space="0" w:color="auto"/>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B64A46">
                          <w:rPr>
                            <w:rFonts w:eastAsia="Times New Roman"/>
                            <w:color w:val="000000"/>
                            <w:sz w:val="21"/>
                            <w:szCs w:val="21"/>
                          </w:rPr>
                          <w:t>6.57%</w:t>
                        </w:r>
                      </w:p>
                    </w:tc>
                    <w:tc>
                      <w:tcPr>
                        <w:tcW w:w="1259" w:type="dxa"/>
                        <w:tcBorders>
                          <w:top w:val="single" w:sz="4" w:space="0" w:color="auto"/>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5.38</w:t>
                        </w:r>
                        <w:r w:rsidRPr="00B64A46">
                          <w:rPr>
                            <w:rFonts w:eastAsia="Times New Roman"/>
                            <w:color w:val="000000"/>
                            <w:sz w:val="21"/>
                            <w:szCs w:val="21"/>
                          </w:rPr>
                          <w:t>%</w:t>
                        </w:r>
                      </w:p>
                    </w:tc>
                  </w:tr>
                  <w:tr w:rsidR="0066042D" w:rsidRPr="00B64A46" w:rsidTr="00613B31">
                    <w:trPr>
                      <w:trHeight w:val="421"/>
                    </w:trPr>
                    <w:tc>
                      <w:tcPr>
                        <w:tcW w:w="2666" w:type="dxa"/>
                        <w:tcBorders>
                          <w:top w:val="nil"/>
                          <w:left w:val="nil"/>
                          <w:bottom w:val="nil"/>
                          <w:right w:val="nil"/>
                        </w:tcBorders>
                        <w:shd w:val="clear" w:color="auto" w:fill="auto"/>
                        <w:noWrap/>
                        <w:vAlign w:val="center"/>
                        <w:hideMark/>
                      </w:tcPr>
                      <w:p w:rsidR="0066042D" w:rsidRPr="00B64A46" w:rsidRDefault="0066042D" w:rsidP="00613B31">
                        <w:pPr>
                          <w:spacing w:after="0"/>
                          <w:rPr>
                            <w:rFonts w:eastAsia="Times New Roman"/>
                            <w:color w:val="000000"/>
                          </w:rPr>
                        </w:pPr>
                        <w:r>
                          <w:rPr>
                            <w:rFonts w:eastAsia="Times New Roman"/>
                            <w:color w:val="000000"/>
                          </w:rPr>
                          <w:t>Unadjusted</w:t>
                        </w:r>
                      </w:p>
                    </w:tc>
                    <w:tc>
                      <w:tcPr>
                        <w:tcW w:w="1417" w:type="dxa"/>
                        <w:tcBorders>
                          <w:top w:val="nil"/>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p>
                    </w:tc>
                    <w:tc>
                      <w:tcPr>
                        <w:tcW w:w="1335" w:type="dxa"/>
                        <w:tcBorders>
                          <w:top w:val="nil"/>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p>
                    </w:tc>
                    <w:tc>
                      <w:tcPr>
                        <w:tcW w:w="1358" w:type="dxa"/>
                        <w:tcBorders>
                          <w:top w:val="nil"/>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p>
                    </w:tc>
                    <w:tc>
                      <w:tcPr>
                        <w:tcW w:w="1259" w:type="dxa"/>
                        <w:tcBorders>
                          <w:top w:val="nil"/>
                          <w:left w:val="nil"/>
                          <w:bottom w:val="nil"/>
                          <w:right w:val="nil"/>
                        </w:tcBorders>
                        <w:shd w:val="clear" w:color="auto" w:fill="auto"/>
                        <w:noWrap/>
                        <w:vAlign w:val="center"/>
                        <w:hideMark/>
                      </w:tcPr>
                      <w:p w:rsidR="0066042D" w:rsidRPr="00B64A46" w:rsidRDefault="0066042D" w:rsidP="00613B31">
                        <w:pPr>
                          <w:spacing w:after="0"/>
                          <w:jc w:val="center"/>
                          <w:rPr>
                            <w:rFonts w:eastAsia="Times New Roman"/>
                            <w:b/>
                            <w:color w:val="000000"/>
                            <w:sz w:val="21"/>
                            <w:szCs w:val="21"/>
                          </w:rPr>
                        </w:pPr>
                      </w:p>
                    </w:tc>
                  </w:tr>
                  <w:tr w:rsidR="0066042D" w:rsidRPr="00B64A46" w:rsidTr="00613B31">
                    <w:trPr>
                      <w:trHeight w:val="430"/>
                    </w:trPr>
                    <w:tc>
                      <w:tcPr>
                        <w:tcW w:w="2666" w:type="dxa"/>
                        <w:tcBorders>
                          <w:top w:val="nil"/>
                          <w:left w:val="nil"/>
                          <w:right w:val="nil"/>
                        </w:tcBorders>
                        <w:shd w:val="clear" w:color="auto" w:fill="auto"/>
                        <w:noWrap/>
                        <w:vAlign w:val="center"/>
                        <w:hideMark/>
                      </w:tcPr>
                      <w:p w:rsidR="0066042D" w:rsidRPr="00B64A46" w:rsidRDefault="0066042D" w:rsidP="00613B31">
                        <w:pPr>
                          <w:spacing w:after="0"/>
                          <w:ind w:left="290"/>
                          <w:rPr>
                            <w:rFonts w:eastAsia="Times New Roman"/>
                            <w:color w:val="000000"/>
                          </w:rPr>
                        </w:pPr>
                        <w:r>
                          <w:rPr>
                            <w:rFonts w:eastAsia="Times New Roman"/>
                            <w:color w:val="000000"/>
                          </w:rPr>
                          <w:t>Average Decedent Cost</w:t>
                        </w:r>
                      </w:p>
                    </w:tc>
                    <w:tc>
                      <w:tcPr>
                        <w:tcW w:w="1417"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147</w:t>
                        </w:r>
                        <w:r>
                          <w:rPr>
                            <w:rFonts w:eastAsia="Times New Roman"/>
                            <w:color w:val="000000"/>
                            <w:sz w:val="21"/>
                            <w:szCs w:val="21"/>
                          </w:rPr>
                          <w:t xml:space="preserve"> </w:t>
                        </w:r>
                        <w:r w:rsidRPr="002323A9">
                          <w:rPr>
                            <w:rFonts w:eastAsia="Times New Roman"/>
                            <w:color w:val="000000"/>
                            <w:sz w:val="21"/>
                            <w:szCs w:val="21"/>
                          </w:rPr>
                          <w:t>963.76</w:t>
                        </w:r>
                      </w:p>
                    </w:tc>
                    <w:tc>
                      <w:tcPr>
                        <w:tcW w:w="1335"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172</w:t>
                        </w:r>
                        <w:r>
                          <w:rPr>
                            <w:rFonts w:eastAsia="Times New Roman"/>
                            <w:color w:val="000000"/>
                            <w:sz w:val="21"/>
                            <w:szCs w:val="21"/>
                          </w:rPr>
                          <w:t xml:space="preserve"> </w:t>
                        </w:r>
                        <w:r w:rsidRPr="002323A9">
                          <w:rPr>
                            <w:rFonts w:eastAsia="Times New Roman"/>
                            <w:color w:val="000000"/>
                            <w:sz w:val="21"/>
                            <w:szCs w:val="21"/>
                          </w:rPr>
                          <w:t>572.59</w:t>
                        </w:r>
                      </w:p>
                    </w:tc>
                    <w:tc>
                      <w:tcPr>
                        <w:tcW w:w="1358"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175</w:t>
                        </w:r>
                        <w:r>
                          <w:rPr>
                            <w:rFonts w:eastAsia="Times New Roman"/>
                            <w:color w:val="000000"/>
                            <w:sz w:val="21"/>
                            <w:szCs w:val="21"/>
                          </w:rPr>
                          <w:t xml:space="preserve"> </w:t>
                        </w:r>
                        <w:r w:rsidRPr="002323A9">
                          <w:rPr>
                            <w:rFonts w:eastAsia="Times New Roman"/>
                            <w:color w:val="000000"/>
                            <w:sz w:val="21"/>
                            <w:szCs w:val="21"/>
                          </w:rPr>
                          <w:t>772.41</w:t>
                        </w:r>
                      </w:p>
                    </w:tc>
                    <w:tc>
                      <w:tcPr>
                        <w:tcW w:w="1259"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b/>
                            <w:color w:val="000000"/>
                            <w:sz w:val="21"/>
                            <w:szCs w:val="21"/>
                          </w:rPr>
                        </w:pPr>
                        <w:r w:rsidRPr="002323A9">
                          <w:rPr>
                            <w:rFonts w:eastAsia="Times New Roman"/>
                            <w:b/>
                            <w:color w:val="000000"/>
                            <w:sz w:val="21"/>
                            <w:szCs w:val="21"/>
                          </w:rPr>
                          <w:t>259</w:t>
                        </w:r>
                        <w:r>
                          <w:rPr>
                            <w:rFonts w:eastAsia="Times New Roman"/>
                            <w:b/>
                            <w:color w:val="000000"/>
                            <w:sz w:val="21"/>
                            <w:szCs w:val="21"/>
                          </w:rPr>
                          <w:t xml:space="preserve"> </w:t>
                        </w:r>
                        <w:r w:rsidRPr="002323A9">
                          <w:rPr>
                            <w:rFonts w:eastAsia="Times New Roman"/>
                            <w:b/>
                            <w:color w:val="000000"/>
                            <w:sz w:val="21"/>
                            <w:szCs w:val="21"/>
                          </w:rPr>
                          <w:t>394.74</w:t>
                        </w:r>
                      </w:p>
                    </w:tc>
                  </w:tr>
                  <w:tr w:rsidR="0066042D" w:rsidRPr="00B64A46" w:rsidTr="00613B31">
                    <w:trPr>
                      <w:trHeight w:val="152"/>
                    </w:trPr>
                    <w:tc>
                      <w:tcPr>
                        <w:tcW w:w="2666" w:type="dxa"/>
                        <w:tcBorders>
                          <w:top w:val="nil"/>
                          <w:left w:val="nil"/>
                          <w:right w:val="nil"/>
                        </w:tcBorders>
                        <w:shd w:val="clear" w:color="auto" w:fill="auto"/>
                        <w:noWrap/>
                        <w:vAlign w:val="center"/>
                        <w:hideMark/>
                      </w:tcPr>
                      <w:p w:rsidR="0066042D" w:rsidRPr="00B64A46" w:rsidRDefault="0066042D" w:rsidP="00613B31">
                        <w:pPr>
                          <w:spacing w:after="0"/>
                          <w:ind w:left="290"/>
                          <w:rPr>
                            <w:rFonts w:eastAsia="Times New Roman"/>
                            <w:color w:val="000000"/>
                          </w:rPr>
                        </w:pPr>
                        <w:r w:rsidRPr="00B64A46">
                          <w:rPr>
                            <w:rFonts w:eastAsia="Times New Roman"/>
                            <w:color w:val="000000"/>
                          </w:rPr>
                          <w:t>Average Survivor Cost</w:t>
                        </w:r>
                      </w:p>
                    </w:tc>
                    <w:tc>
                      <w:tcPr>
                        <w:tcW w:w="1417"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9</w:t>
                        </w:r>
                        <w:r>
                          <w:rPr>
                            <w:rFonts w:eastAsia="Times New Roman"/>
                            <w:color w:val="000000"/>
                            <w:sz w:val="21"/>
                            <w:szCs w:val="21"/>
                          </w:rPr>
                          <w:t xml:space="preserve"> 681.84</w:t>
                        </w:r>
                      </w:p>
                    </w:tc>
                    <w:tc>
                      <w:tcPr>
                        <w:tcW w:w="1335"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10264.09</w:t>
                        </w:r>
                      </w:p>
                    </w:tc>
                    <w:tc>
                      <w:tcPr>
                        <w:tcW w:w="1358"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10034.55</w:t>
                        </w:r>
                      </w:p>
                    </w:tc>
                    <w:tc>
                      <w:tcPr>
                        <w:tcW w:w="1259"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10</w:t>
                        </w:r>
                        <w:r>
                          <w:rPr>
                            <w:rFonts w:eastAsia="Times New Roman"/>
                            <w:color w:val="000000"/>
                            <w:sz w:val="21"/>
                            <w:szCs w:val="21"/>
                          </w:rPr>
                          <w:t xml:space="preserve"> </w:t>
                        </w:r>
                        <w:r w:rsidRPr="002323A9">
                          <w:rPr>
                            <w:rFonts w:eastAsia="Times New Roman"/>
                            <w:color w:val="000000"/>
                            <w:sz w:val="21"/>
                            <w:szCs w:val="21"/>
                          </w:rPr>
                          <w:t>263.48</w:t>
                        </w:r>
                      </w:p>
                    </w:tc>
                  </w:tr>
                  <w:tr w:rsidR="0066042D" w:rsidRPr="00B64A46" w:rsidTr="00613B31">
                    <w:trPr>
                      <w:trHeight w:val="352"/>
                    </w:trPr>
                    <w:tc>
                      <w:tcPr>
                        <w:tcW w:w="2666" w:type="dxa"/>
                        <w:tcBorders>
                          <w:top w:val="nil"/>
                          <w:left w:val="nil"/>
                          <w:right w:val="nil"/>
                        </w:tcBorders>
                        <w:shd w:val="clear" w:color="auto" w:fill="auto"/>
                        <w:noWrap/>
                        <w:vAlign w:val="center"/>
                        <w:hideMark/>
                      </w:tcPr>
                      <w:p w:rsidR="0066042D" w:rsidRPr="00B64A46" w:rsidRDefault="0066042D" w:rsidP="00613B31">
                        <w:pPr>
                          <w:spacing w:after="0"/>
                          <w:ind w:left="290"/>
                          <w:rPr>
                            <w:rFonts w:eastAsia="Times New Roman"/>
                            <w:color w:val="000000"/>
                          </w:rPr>
                        </w:pPr>
                        <w:r w:rsidRPr="00B64A46">
                          <w:rPr>
                            <w:rFonts w:eastAsia="Times New Roman"/>
                            <w:color w:val="000000"/>
                          </w:rPr>
                          <w:t>Ratio</w:t>
                        </w:r>
                      </w:p>
                    </w:tc>
                    <w:tc>
                      <w:tcPr>
                        <w:tcW w:w="1417" w:type="dxa"/>
                        <w:tcBorders>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15.28</w:t>
                        </w:r>
                      </w:p>
                    </w:tc>
                    <w:tc>
                      <w:tcPr>
                        <w:tcW w:w="1335" w:type="dxa"/>
                        <w:tcBorders>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B64A46">
                          <w:rPr>
                            <w:rFonts w:eastAsia="Times New Roman"/>
                            <w:color w:val="000000"/>
                            <w:sz w:val="21"/>
                            <w:szCs w:val="21"/>
                          </w:rPr>
                          <w:t>16.81</w:t>
                        </w:r>
                      </w:p>
                    </w:tc>
                    <w:tc>
                      <w:tcPr>
                        <w:tcW w:w="1358" w:type="dxa"/>
                        <w:tcBorders>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B64A46">
                          <w:rPr>
                            <w:rFonts w:eastAsia="Times New Roman"/>
                            <w:color w:val="000000"/>
                            <w:sz w:val="21"/>
                            <w:szCs w:val="21"/>
                          </w:rPr>
                          <w:t>17.52</w:t>
                        </w:r>
                      </w:p>
                    </w:tc>
                    <w:tc>
                      <w:tcPr>
                        <w:tcW w:w="1259" w:type="dxa"/>
                        <w:tcBorders>
                          <w:left w:val="nil"/>
                          <w:right w:val="nil"/>
                        </w:tcBorders>
                        <w:shd w:val="clear" w:color="auto" w:fill="auto"/>
                        <w:noWrap/>
                        <w:vAlign w:val="center"/>
                        <w:hideMark/>
                      </w:tcPr>
                      <w:p w:rsidR="0066042D" w:rsidRPr="00B64A46" w:rsidRDefault="0066042D" w:rsidP="00613B31">
                        <w:pPr>
                          <w:spacing w:after="0"/>
                          <w:jc w:val="center"/>
                          <w:rPr>
                            <w:rFonts w:eastAsia="Times New Roman"/>
                            <w:b/>
                            <w:color w:val="000000"/>
                            <w:sz w:val="21"/>
                            <w:szCs w:val="21"/>
                          </w:rPr>
                        </w:pPr>
                        <w:r>
                          <w:rPr>
                            <w:rFonts w:eastAsia="Times New Roman"/>
                            <w:b/>
                            <w:color w:val="000000"/>
                            <w:sz w:val="21"/>
                            <w:szCs w:val="21"/>
                          </w:rPr>
                          <w:t>25.27</w:t>
                        </w:r>
                      </w:p>
                    </w:tc>
                  </w:tr>
                  <w:tr w:rsidR="0066042D" w:rsidRPr="00B64A46" w:rsidTr="00613B31">
                    <w:trPr>
                      <w:trHeight w:val="578"/>
                    </w:trPr>
                    <w:tc>
                      <w:tcPr>
                        <w:tcW w:w="2666" w:type="dxa"/>
                        <w:tcBorders>
                          <w:top w:val="nil"/>
                          <w:left w:val="nil"/>
                          <w:right w:val="nil"/>
                        </w:tcBorders>
                        <w:shd w:val="clear" w:color="auto" w:fill="auto"/>
                        <w:noWrap/>
                        <w:vAlign w:val="center"/>
                        <w:hideMark/>
                      </w:tcPr>
                      <w:p w:rsidR="0066042D" w:rsidRPr="00B64A46" w:rsidRDefault="0066042D" w:rsidP="00613B31">
                        <w:pPr>
                          <w:spacing w:after="0"/>
                          <w:rPr>
                            <w:rFonts w:eastAsia="Times New Roman"/>
                            <w:color w:val="000000"/>
                          </w:rPr>
                        </w:pPr>
                        <w:r>
                          <w:rPr>
                            <w:rFonts w:eastAsia="Times New Roman"/>
                            <w:color w:val="000000"/>
                          </w:rPr>
                          <w:t>Adjusted</w:t>
                        </w:r>
                      </w:p>
                    </w:tc>
                    <w:tc>
                      <w:tcPr>
                        <w:tcW w:w="1417"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p>
                    </w:tc>
                    <w:tc>
                      <w:tcPr>
                        <w:tcW w:w="1335"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p>
                    </w:tc>
                    <w:tc>
                      <w:tcPr>
                        <w:tcW w:w="1358"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p>
                    </w:tc>
                    <w:tc>
                      <w:tcPr>
                        <w:tcW w:w="1259"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p>
                    </w:tc>
                  </w:tr>
                  <w:tr w:rsidR="0066042D" w:rsidRPr="00B64A46" w:rsidTr="00613B31">
                    <w:trPr>
                      <w:trHeight w:val="300"/>
                    </w:trPr>
                    <w:tc>
                      <w:tcPr>
                        <w:tcW w:w="2666" w:type="dxa"/>
                        <w:tcBorders>
                          <w:top w:val="nil"/>
                          <w:left w:val="nil"/>
                          <w:right w:val="nil"/>
                        </w:tcBorders>
                        <w:shd w:val="clear" w:color="auto" w:fill="auto"/>
                        <w:noWrap/>
                        <w:vAlign w:val="center"/>
                        <w:hideMark/>
                      </w:tcPr>
                      <w:p w:rsidR="0066042D" w:rsidRPr="00B64A46" w:rsidRDefault="0066042D" w:rsidP="00613B31">
                        <w:pPr>
                          <w:spacing w:after="0"/>
                          <w:ind w:left="290"/>
                          <w:rPr>
                            <w:rFonts w:eastAsia="Times New Roman"/>
                            <w:color w:val="000000"/>
                          </w:rPr>
                        </w:pPr>
                        <w:r>
                          <w:rPr>
                            <w:rFonts w:eastAsia="Times New Roman"/>
                            <w:color w:val="000000"/>
                          </w:rPr>
                          <w:t>Average Decedent Cost</w:t>
                        </w:r>
                      </w:p>
                    </w:tc>
                    <w:tc>
                      <w:tcPr>
                        <w:tcW w:w="1417"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120</w:t>
                        </w:r>
                        <w:r>
                          <w:rPr>
                            <w:rFonts w:eastAsia="Times New Roman"/>
                            <w:color w:val="000000"/>
                            <w:sz w:val="21"/>
                            <w:szCs w:val="21"/>
                          </w:rPr>
                          <w:t xml:space="preserve"> </w:t>
                        </w:r>
                        <w:r w:rsidRPr="002323A9">
                          <w:rPr>
                            <w:rFonts w:eastAsia="Times New Roman"/>
                            <w:color w:val="000000"/>
                            <w:sz w:val="21"/>
                            <w:szCs w:val="21"/>
                          </w:rPr>
                          <w:t>890.32</w:t>
                        </w:r>
                      </w:p>
                    </w:tc>
                    <w:tc>
                      <w:tcPr>
                        <w:tcW w:w="1335"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149</w:t>
                        </w:r>
                        <w:r>
                          <w:rPr>
                            <w:rFonts w:eastAsia="Times New Roman"/>
                            <w:color w:val="000000"/>
                            <w:sz w:val="21"/>
                            <w:szCs w:val="21"/>
                          </w:rPr>
                          <w:t xml:space="preserve"> </w:t>
                        </w:r>
                        <w:r w:rsidRPr="002323A9">
                          <w:rPr>
                            <w:rFonts w:eastAsia="Times New Roman"/>
                            <w:color w:val="000000"/>
                            <w:sz w:val="21"/>
                            <w:szCs w:val="21"/>
                          </w:rPr>
                          <w:t>189.49</w:t>
                        </w:r>
                      </w:p>
                    </w:tc>
                    <w:tc>
                      <w:tcPr>
                        <w:tcW w:w="1358"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157</w:t>
                        </w:r>
                        <w:r>
                          <w:rPr>
                            <w:rFonts w:eastAsia="Times New Roman"/>
                            <w:color w:val="000000"/>
                            <w:sz w:val="21"/>
                            <w:szCs w:val="21"/>
                          </w:rPr>
                          <w:t xml:space="preserve"> </w:t>
                        </w:r>
                        <w:r w:rsidRPr="002323A9">
                          <w:rPr>
                            <w:rFonts w:eastAsia="Times New Roman"/>
                            <w:color w:val="000000"/>
                            <w:sz w:val="21"/>
                            <w:szCs w:val="21"/>
                          </w:rPr>
                          <w:t>760.60</w:t>
                        </w:r>
                      </w:p>
                    </w:tc>
                    <w:tc>
                      <w:tcPr>
                        <w:tcW w:w="1259" w:type="dxa"/>
                        <w:tcBorders>
                          <w:top w:val="nil"/>
                          <w:left w:val="nil"/>
                          <w:right w:val="nil"/>
                        </w:tcBorders>
                        <w:shd w:val="clear" w:color="auto" w:fill="auto"/>
                        <w:noWrap/>
                        <w:vAlign w:val="center"/>
                        <w:hideMark/>
                      </w:tcPr>
                      <w:p w:rsidR="0066042D" w:rsidRPr="00B64A46" w:rsidRDefault="0066042D" w:rsidP="00613B31">
                        <w:pPr>
                          <w:spacing w:after="0"/>
                          <w:jc w:val="center"/>
                          <w:rPr>
                            <w:rFonts w:eastAsia="Times New Roman"/>
                            <w:b/>
                            <w:color w:val="000000"/>
                            <w:sz w:val="21"/>
                            <w:szCs w:val="21"/>
                          </w:rPr>
                        </w:pPr>
                        <w:r>
                          <w:rPr>
                            <w:rFonts w:eastAsia="Times New Roman"/>
                            <w:b/>
                            <w:color w:val="000000"/>
                            <w:sz w:val="21"/>
                            <w:szCs w:val="21"/>
                          </w:rPr>
                          <w:t>213 856.23</w:t>
                        </w:r>
                      </w:p>
                    </w:tc>
                  </w:tr>
                  <w:tr w:rsidR="0066042D" w:rsidRPr="00B64A46" w:rsidTr="00613B31">
                    <w:trPr>
                      <w:trHeight w:val="300"/>
                    </w:trPr>
                    <w:tc>
                      <w:tcPr>
                        <w:tcW w:w="2666" w:type="dxa"/>
                        <w:tcBorders>
                          <w:left w:val="nil"/>
                          <w:right w:val="nil"/>
                        </w:tcBorders>
                        <w:shd w:val="clear" w:color="auto" w:fill="auto"/>
                        <w:noWrap/>
                        <w:vAlign w:val="center"/>
                        <w:hideMark/>
                      </w:tcPr>
                      <w:p w:rsidR="0066042D" w:rsidRPr="00B64A46" w:rsidRDefault="0066042D" w:rsidP="00613B31">
                        <w:pPr>
                          <w:spacing w:after="0"/>
                          <w:ind w:left="290"/>
                          <w:rPr>
                            <w:rFonts w:eastAsia="Times New Roman"/>
                            <w:color w:val="000000"/>
                          </w:rPr>
                        </w:pPr>
                        <w:r w:rsidRPr="00B64A46">
                          <w:rPr>
                            <w:rFonts w:eastAsia="Times New Roman"/>
                            <w:color w:val="000000"/>
                          </w:rPr>
                          <w:t>Average Survivor Cost</w:t>
                        </w:r>
                      </w:p>
                    </w:tc>
                    <w:tc>
                      <w:tcPr>
                        <w:tcW w:w="1417" w:type="dxa"/>
                        <w:tcBorders>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9 711.59</w:t>
                        </w:r>
                      </w:p>
                    </w:tc>
                    <w:tc>
                      <w:tcPr>
                        <w:tcW w:w="1335" w:type="dxa"/>
                        <w:tcBorders>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10</w:t>
                        </w:r>
                        <w:r>
                          <w:rPr>
                            <w:rFonts w:eastAsia="Times New Roman"/>
                            <w:color w:val="000000"/>
                            <w:sz w:val="21"/>
                            <w:szCs w:val="21"/>
                          </w:rPr>
                          <w:t xml:space="preserve"> </w:t>
                        </w:r>
                        <w:r w:rsidRPr="002323A9">
                          <w:rPr>
                            <w:rFonts w:eastAsia="Times New Roman"/>
                            <w:color w:val="000000"/>
                            <w:sz w:val="21"/>
                            <w:szCs w:val="21"/>
                          </w:rPr>
                          <w:t>298.88</w:t>
                        </w:r>
                      </w:p>
                    </w:tc>
                    <w:tc>
                      <w:tcPr>
                        <w:tcW w:w="1358" w:type="dxa"/>
                        <w:tcBorders>
                          <w:left w:val="nil"/>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sidRPr="002323A9">
                          <w:rPr>
                            <w:rFonts w:eastAsia="Times New Roman"/>
                            <w:color w:val="000000"/>
                            <w:sz w:val="21"/>
                            <w:szCs w:val="21"/>
                          </w:rPr>
                          <w:t>10</w:t>
                        </w:r>
                        <w:r>
                          <w:rPr>
                            <w:rFonts w:eastAsia="Times New Roman"/>
                            <w:color w:val="000000"/>
                            <w:sz w:val="21"/>
                            <w:szCs w:val="21"/>
                          </w:rPr>
                          <w:t xml:space="preserve"> </w:t>
                        </w:r>
                        <w:r w:rsidRPr="002323A9">
                          <w:rPr>
                            <w:rFonts w:eastAsia="Times New Roman"/>
                            <w:color w:val="000000"/>
                            <w:sz w:val="21"/>
                            <w:szCs w:val="21"/>
                          </w:rPr>
                          <w:t>072.69</w:t>
                        </w:r>
                      </w:p>
                    </w:tc>
                    <w:tc>
                      <w:tcPr>
                        <w:tcW w:w="1259" w:type="dxa"/>
                        <w:tcBorders>
                          <w:left w:val="nil"/>
                          <w:right w:val="nil"/>
                        </w:tcBorders>
                        <w:shd w:val="clear" w:color="auto" w:fill="auto"/>
                        <w:noWrap/>
                        <w:vAlign w:val="center"/>
                        <w:hideMark/>
                      </w:tcPr>
                      <w:p w:rsidR="0066042D" w:rsidRPr="002323A9" w:rsidRDefault="0066042D" w:rsidP="00613B31">
                        <w:pPr>
                          <w:spacing w:after="0"/>
                          <w:jc w:val="center"/>
                          <w:rPr>
                            <w:rFonts w:eastAsia="Times New Roman"/>
                            <w:color w:val="000000"/>
                            <w:sz w:val="21"/>
                            <w:szCs w:val="21"/>
                          </w:rPr>
                        </w:pPr>
                        <w:r w:rsidRPr="002323A9">
                          <w:rPr>
                            <w:rFonts w:eastAsia="Times New Roman"/>
                            <w:color w:val="000000"/>
                            <w:sz w:val="21"/>
                            <w:szCs w:val="21"/>
                          </w:rPr>
                          <w:t>10</w:t>
                        </w:r>
                        <w:r>
                          <w:rPr>
                            <w:rFonts w:eastAsia="Times New Roman"/>
                            <w:color w:val="000000"/>
                            <w:sz w:val="21"/>
                            <w:szCs w:val="21"/>
                          </w:rPr>
                          <w:t xml:space="preserve"> </w:t>
                        </w:r>
                        <w:r w:rsidRPr="002323A9">
                          <w:rPr>
                            <w:rFonts w:eastAsia="Times New Roman"/>
                            <w:color w:val="000000"/>
                            <w:sz w:val="21"/>
                            <w:szCs w:val="21"/>
                          </w:rPr>
                          <w:t>287.34</w:t>
                        </w:r>
                      </w:p>
                    </w:tc>
                  </w:tr>
                  <w:tr w:rsidR="0066042D" w:rsidRPr="00B64A46" w:rsidTr="00613B31">
                    <w:trPr>
                      <w:trHeight w:val="300"/>
                    </w:trPr>
                    <w:tc>
                      <w:tcPr>
                        <w:tcW w:w="2666" w:type="dxa"/>
                        <w:tcBorders>
                          <w:left w:val="nil"/>
                          <w:bottom w:val="single" w:sz="4" w:space="0" w:color="auto"/>
                          <w:right w:val="nil"/>
                        </w:tcBorders>
                        <w:shd w:val="clear" w:color="auto" w:fill="auto"/>
                        <w:noWrap/>
                        <w:vAlign w:val="center"/>
                        <w:hideMark/>
                      </w:tcPr>
                      <w:p w:rsidR="0066042D" w:rsidRPr="00B64A46" w:rsidRDefault="0066042D" w:rsidP="00613B31">
                        <w:pPr>
                          <w:spacing w:after="0"/>
                          <w:ind w:left="290"/>
                          <w:rPr>
                            <w:rFonts w:eastAsia="Times New Roman"/>
                            <w:color w:val="000000"/>
                          </w:rPr>
                        </w:pPr>
                        <w:r w:rsidRPr="00B64A46">
                          <w:rPr>
                            <w:rFonts w:eastAsia="Times New Roman"/>
                            <w:color w:val="000000"/>
                          </w:rPr>
                          <w:t>Ratio</w:t>
                        </w:r>
                      </w:p>
                    </w:tc>
                    <w:tc>
                      <w:tcPr>
                        <w:tcW w:w="1417" w:type="dxa"/>
                        <w:tcBorders>
                          <w:left w:val="nil"/>
                          <w:bottom w:val="single" w:sz="4" w:space="0" w:color="auto"/>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12.45</w:t>
                        </w:r>
                      </w:p>
                    </w:tc>
                    <w:tc>
                      <w:tcPr>
                        <w:tcW w:w="1335" w:type="dxa"/>
                        <w:tcBorders>
                          <w:left w:val="nil"/>
                          <w:bottom w:val="single" w:sz="4" w:space="0" w:color="auto"/>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14.49</w:t>
                        </w:r>
                      </w:p>
                    </w:tc>
                    <w:tc>
                      <w:tcPr>
                        <w:tcW w:w="1358" w:type="dxa"/>
                        <w:tcBorders>
                          <w:left w:val="nil"/>
                          <w:bottom w:val="single" w:sz="4" w:space="0" w:color="auto"/>
                          <w:right w:val="nil"/>
                        </w:tcBorders>
                        <w:shd w:val="clear" w:color="auto" w:fill="auto"/>
                        <w:noWrap/>
                        <w:vAlign w:val="center"/>
                        <w:hideMark/>
                      </w:tcPr>
                      <w:p w:rsidR="0066042D" w:rsidRPr="00B64A46" w:rsidRDefault="0066042D" w:rsidP="00613B31">
                        <w:pPr>
                          <w:spacing w:after="0"/>
                          <w:jc w:val="center"/>
                          <w:rPr>
                            <w:rFonts w:eastAsia="Times New Roman"/>
                            <w:color w:val="000000"/>
                            <w:sz w:val="21"/>
                            <w:szCs w:val="21"/>
                          </w:rPr>
                        </w:pPr>
                        <w:r>
                          <w:rPr>
                            <w:rFonts w:eastAsia="Times New Roman"/>
                            <w:color w:val="000000"/>
                            <w:sz w:val="21"/>
                            <w:szCs w:val="21"/>
                          </w:rPr>
                          <w:t>15.66</w:t>
                        </w:r>
                      </w:p>
                    </w:tc>
                    <w:tc>
                      <w:tcPr>
                        <w:tcW w:w="1259" w:type="dxa"/>
                        <w:tcBorders>
                          <w:left w:val="nil"/>
                          <w:bottom w:val="single" w:sz="4" w:space="0" w:color="auto"/>
                          <w:right w:val="nil"/>
                        </w:tcBorders>
                        <w:shd w:val="clear" w:color="auto" w:fill="auto"/>
                        <w:noWrap/>
                        <w:vAlign w:val="center"/>
                        <w:hideMark/>
                      </w:tcPr>
                      <w:p w:rsidR="0066042D" w:rsidRPr="00B64A46" w:rsidRDefault="0066042D" w:rsidP="00613B31">
                        <w:pPr>
                          <w:spacing w:after="0"/>
                          <w:jc w:val="center"/>
                          <w:rPr>
                            <w:rFonts w:eastAsia="Times New Roman"/>
                            <w:b/>
                            <w:color w:val="000000"/>
                            <w:sz w:val="21"/>
                            <w:szCs w:val="21"/>
                          </w:rPr>
                        </w:pPr>
                        <w:r>
                          <w:rPr>
                            <w:rFonts w:eastAsia="Times New Roman"/>
                            <w:b/>
                            <w:color w:val="000000"/>
                            <w:sz w:val="21"/>
                            <w:szCs w:val="21"/>
                          </w:rPr>
                          <w:t>20.79</w:t>
                        </w:r>
                      </w:p>
                    </w:tc>
                  </w:tr>
                </w:tbl>
                <w:p w:rsidR="0066042D" w:rsidRPr="00B64A46" w:rsidRDefault="0066042D" w:rsidP="007B57B1">
                  <w:pPr>
                    <w:spacing w:before="60"/>
                  </w:pPr>
                  <w:r>
                    <w:rPr>
                      <w:i/>
                      <w:sz w:val="20"/>
                      <w:szCs w:val="20"/>
                    </w:rPr>
                    <w:t xml:space="preserve"> </w:t>
                  </w:r>
                  <w:r w:rsidRPr="000740BD">
                    <w:rPr>
                      <w:i/>
                      <w:sz w:val="20"/>
                      <w:szCs w:val="20"/>
                    </w:rPr>
                    <w:t>Notes:</w:t>
                  </w:r>
                  <w:r w:rsidRPr="008C006D">
                    <w:rPr>
                      <w:sz w:val="20"/>
                      <w:szCs w:val="20"/>
                    </w:rPr>
                    <w:t xml:space="preserve"> </w:t>
                  </w:r>
                  <w:r w:rsidRPr="008C006D">
                    <w:rPr>
                      <w:i/>
                      <w:sz w:val="20"/>
                      <w:szCs w:val="20"/>
                    </w:rPr>
                    <w:t>p</w:t>
                  </w:r>
                  <w:r>
                    <w:rPr>
                      <w:i/>
                      <w:sz w:val="20"/>
                      <w:szCs w:val="20"/>
                    </w:rPr>
                    <w:t xml:space="preserve"> </w:t>
                  </w:r>
                  <w:r w:rsidRPr="008C006D">
                    <w:rPr>
                      <w:sz w:val="20"/>
                      <w:szCs w:val="20"/>
                    </w:rPr>
                    <w:t>&lt;</w:t>
                  </w:r>
                  <w:r>
                    <w:rPr>
                      <w:sz w:val="20"/>
                      <w:szCs w:val="20"/>
                    </w:rPr>
                    <w:t xml:space="preserve"> 0</w:t>
                  </w:r>
                  <w:r w:rsidRPr="008C006D">
                    <w:rPr>
                      <w:sz w:val="20"/>
                      <w:szCs w:val="20"/>
                    </w:rPr>
                    <w:t>.01 for t-test of difference</w:t>
                  </w:r>
                  <w:r>
                    <w:rPr>
                      <w:sz w:val="20"/>
                      <w:szCs w:val="20"/>
                    </w:rPr>
                    <w:t>s</w:t>
                  </w:r>
                  <w:r w:rsidRPr="008C006D">
                    <w:rPr>
                      <w:sz w:val="20"/>
                      <w:szCs w:val="20"/>
                    </w:rPr>
                    <w:t xml:space="preserve"> between average</w:t>
                  </w:r>
                  <w:r>
                    <w:rPr>
                      <w:sz w:val="20"/>
                      <w:szCs w:val="20"/>
                    </w:rPr>
                    <w:t xml:space="preserve"> unadjusted survivor and decedent costs for each year</w:t>
                  </w:r>
                </w:p>
              </w:txbxContent>
            </v:textbox>
            <w10:wrap type="through"/>
          </v:shape>
        </w:pict>
      </w:r>
      <w:r w:rsidR="007B57B1">
        <w:t xml:space="preserve">Table </w:t>
      </w:r>
      <w:fldSimple w:instr=" SEQ Table \* ARABIC ">
        <w:r w:rsidR="007B57B1">
          <w:rPr>
            <w:noProof/>
          </w:rPr>
          <w:t>4</w:t>
        </w:r>
      </w:fldSimple>
      <w:r w:rsidR="00EC2810" w:rsidRPr="00B64A46">
        <w:rPr>
          <w:rFonts w:eastAsia="Times New Roman"/>
          <w:color w:val="000000"/>
          <w:szCs w:val="24"/>
        </w:rPr>
        <w:t>:</w:t>
      </w:r>
      <w:r w:rsidR="00EC2810">
        <w:rPr>
          <w:rFonts w:eastAsia="Times New Roman"/>
          <w:color w:val="000000"/>
          <w:szCs w:val="24"/>
        </w:rPr>
        <w:t xml:space="preserve"> Percentage of Total Costs attributed to Decedents, Average Risk Unadjusted and Adjusted Survivor and Decedent Costs and Ratios between them</w:t>
      </w:r>
    </w:p>
    <w:p w:rsidR="002B7516" w:rsidRDefault="002B7516" w:rsidP="002B7516">
      <w:pPr>
        <w:jc w:val="both"/>
        <w:rPr>
          <w:spacing w:val="-5"/>
        </w:rPr>
      </w:pPr>
      <w:r>
        <w:rPr>
          <w:w w:val="105"/>
        </w:rPr>
        <w:lastRenderedPageBreak/>
        <w:t xml:space="preserve">The percentages of total costs that decedents consume in each calendar year </w:t>
      </w:r>
      <w:r>
        <w:rPr>
          <w:w w:val="106"/>
        </w:rPr>
        <w:t xml:space="preserve">indicates that decedent’s costs form a very small part of the total healthcare </w:t>
      </w:r>
      <w:r>
        <w:t xml:space="preserve">expenditure incurred by medical schemes each year (Table 4). It should be noted, </w:t>
      </w:r>
      <w:r>
        <w:rPr>
          <w:spacing w:val="-4"/>
        </w:rPr>
        <w:t xml:space="preserve">however, that the 2011 percentage will be higher once 2012 mortality is taken into </w:t>
      </w:r>
      <w:r>
        <w:t xml:space="preserve">account. Table 4 also records the average survivor and decedent costs for each of the study period’s four years. It can be seen that average decedent costs in each </w:t>
      </w:r>
      <w:r>
        <w:rPr>
          <w:w w:val="108"/>
        </w:rPr>
        <w:t xml:space="preserve">year far exceed that of average survivor costs. This result is reinforced by </w:t>
      </w:r>
      <w:r>
        <w:t xml:space="preserve">considering the ratio between the average survivor and decedent costs for each </w:t>
      </w:r>
      <w:r>
        <w:rPr>
          <w:w w:val="102"/>
        </w:rPr>
        <w:t xml:space="preserve">year. The average decedent costs are 25.27 times higher than average survivor </w:t>
      </w:r>
      <w:r>
        <w:rPr>
          <w:w w:val="106"/>
        </w:rPr>
        <w:t xml:space="preserve">costs in 2011. In addition, the ratio between average survivor and </w:t>
      </w:r>
      <w:r>
        <w:t xml:space="preserve">decedent costs is trending upward over the four year study period. This is because, </w:t>
      </w:r>
      <w:r>
        <w:rPr>
          <w:spacing w:val="-4"/>
        </w:rPr>
        <w:t xml:space="preserve">while the average decedent costs are increasing year-on-year in real terms, the average survivor </w:t>
      </w:r>
      <w:r>
        <w:rPr>
          <w:spacing w:val="-5"/>
        </w:rPr>
        <w:t>costs remain relatively stable.</w:t>
      </w:r>
    </w:p>
    <w:p w:rsidR="00134148" w:rsidRDefault="002B7516" w:rsidP="002B7516">
      <w:pPr>
        <w:jc w:val="both"/>
      </w:pPr>
      <w:r w:rsidRPr="00EC2810">
        <w:t xml:space="preserve">The unadjusted and adjusted ratios between average survivor and decedent costs are trending upward over the four year study period. This is because, while the average decedent costs increase year-on-year, the average survivor costs remain relatively stable. </w:t>
      </w:r>
    </w:p>
    <w:p w:rsidR="002B7516" w:rsidRDefault="002B7516" w:rsidP="002B7516">
      <w:pPr>
        <w:jc w:val="both"/>
        <w:rPr>
          <w:spacing w:val="-5"/>
        </w:rPr>
      </w:pPr>
      <w:r w:rsidRPr="00EC2810">
        <w:t>The above analysis will now be examined in more detail by comparing survivor and decedent costs according to age, category of expenditure and treatment of PMBs. It should be noted that the large jump in the average decedent costs between 2010 and 2011 observable throughout this section is attributed to the overestimation of 2011 decedent costs discussed in Section 5.2.</w:t>
      </w:r>
      <w:r>
        <w:rPr>
          <w:spacing w:val="-5"/>
        </w:rPr>
        <w:t xml:space="preserve"> </w:t>
      </w:r>
    </w:p>
    <w:p w:rsidR="007B57B1" w:rsidRPr="00F26530" w:rsidRDefault="00625779" w:rsidP="007B57B1">
      <w:pPr>
        <w:rPr>
          <w:caps/>
        </w:rPr>
      </w:pPr>
      <w:r>
        <w:rPr>
          <w:caps/>
        </w:rPr>
        <w:t>6</w:t>
      </w:r>
      <w:r w:rsidR="007B57B1" w:rsidRPr="00F26530">
        <w:rPr>
          <w:caps/>
        </w:rPr>
        <w:t xml:space="preserve">.2.1 Analysis of Decedent and Survivor Costs by Age </w:t>
      </w:r>
    </w:p>
    <w:p w:rsidR="007B57B1" w:rsidRDefault="007B57B1" w:rsidP="00AD0700">
      <w:pPr>
        <w:jc w:val="both"/>
        <w:rPr>
          <w:spacing w:val="-3"/>
        </w:rPr>
      </w:pPr>
      <w:r>
        <w:rPr>
          <w:w w:val="104"/>
        </w:rPr>
        <w:t xml:space="preserve">The distributions of average survivor and decedent costs are considered </w:t>
      </w:r>
      <w:r>
        <w:rPr>
          <w:w w:val="110"/>
        </w:rPr>
        <w:t>according to age on the first of January for each year of the study period</w:t>
      </w:r>
      <w:r>
        <w:rPr>
          <w:spacing w:val="-3"/>
        </w:rPr>
        <w:t xml:space="preserve">. </w:t>
      </w:r>
    </w:p>
    <w:p w:rsidR="002B7516" w:rsidRDefault="002B7516" w:rsidP="00AD0700">
      <w:pPr>
        <w:jc w:val="both"/>
        <w:rPr>
          <w:spacing w:val="-3"/>
        </w:rPr>
      </w:pPr>
    </w:p>
    <w:p w:rsidR="007B57B1" w:rsidRDefault="007B57B1" w:rsidP="007B57B1">
      <w:pPr>
        <w:rPr>
          <w:spacing w:val="-3"/>
        </w:rPr>
      </w:pPr>
      <w:r>
        <w:rPr>
          <w:noProof/>
        </w:rPr>
        <w:drawing>
          <wp:inline distT="0" distB="0" distL="0" distR="0">
            <wp:extent cx="4888302" cy="2932981"/>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57B1" w:rsidRDefault="007B57B1" w:rsidP="007B57B1">
      <w:pPr>
        <w:pStyle w:val="Caption"/>
        <w:rPr>
          <w:spacing w:val="-3"/>
        </w:rPr>
      </w:pPr>
      <w:r w:rsidRPr="009A02BB">
        <w:t xml:space="preserve">Figure </w:t>
      </w:r>
      <w:fldSimple w:instr=" SEQ Figure \* ARABIC ">
        <w:r>
          <w:rPr>
            <w:noProof/>
          </w:rPr>
          <w:t>4</w:t>
        </w:r>
      </w:fldSimple>
      <w:r w:rsidRPr="009A02BB">
        <w:t xml:space="preserve">: </w:t>
      </w:r>
      <w:r>
        <w:t xml:space="preserve">Distribution of decedent claim amounts for each calendar year </w:t>
      </w:r>
      <w:r w:rsidRPr="000A0E24">
        <w:t xml:space="preserve">according to </w:t>
      </w:r>
      <w:r>
        <w:t>a</w:t>
      </w:r>
      <w:r w:rsidRPr="000A0E24">
        <w:t xml:space="preserve">ge at </w:t>
      </w:r>
      <w:r>
        <w:t>1 January</w:t>
      </w:r>
      <w:r w:rsidRPr="000A0E24">
        <w:br/>
      </w:r>
    </w:p>
    <w:p w:rsidR="007B57B1" w:rsidRDefault="007B57B1" w:rsidP="007B57B1">
      <w:pPr>
        <w:rPr>
          <w:spacing w:val="-3"/>
        </w:rPr>
      </w:pPr>
      <w:r>
        <w:rPr>
          <w:noProof/>
        </w:rPr>
        <w:lastRenderedPageBreak/>
        <w:drawing>
          <wp:inline distT="0" distB="0" distL="0" distR="0">
            <wp:extent cx="4888800" cy="2932981"/>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57B1" w:rsidRPr="00D429A6" w:rsidRDefault="007B57B1" w:rsidP="007B57B1">
      <w:pPr>
        <w:rPr>
          <w:b/>
          <w:bCs/>
          <w:szCs w:val="18"/>
        </w:rPr>
      </w:pPr>
      <w:r w:rsidRPr="00D429A6">
        <w:rPr>
          <w:b/>
          <w:bCs/>
          <w:szCs w:val="18"/>
        </w:rPr>
        <w:t xml:space="preserve">Figure </w:t>
      </w:r>
      <w:r w:rsidR="009040E7" w:rsidRPr="00D429A6">
        <w:rPr>
          <w:b/>
          <w:bCs/>
          <w:szCs w:val="18"/>
        </w:rPr>
        <w:fldChar w:fldCharType="begin"/>
      </w:r>
      <w:r w:rsidRPr="00D429A6">
        <w:rPr>
          <w:b/>
          <w:bCs/>
          <w:szCs w:val="18"/>
        </w:rPr>
        <w:instrText xml:space="preserve"> SEQ Figure \* ARABIC </w:instrText>
      </w:r>
      <w:r w:rsidR="009040E7" w:rsidRPr="00D429A6">
        <w:rPr>
          <w:b/>
          <w:bCs/>
          <w:szCs w:val="18"/>
        </w:rPr>
        <w:fldChar w:fldCharType="separate"/>
      </w:r>
      <w:r>
        <w:rPr>
          <w:b/>
          <w:bCs/>
          <w:noProof/>
          <w:szCs w:val="18"/>
        </w:rPr>
        <w:t>5</w:t>
      </w:r>
      <w:r w:rsidR="009040E7" w:rsidRPr="00D429A6">
        <w:rPr>
          <w:b/>
          <w:bCs/>
          <w:szCs w:val="18"/>
        </w:rPr>
        <w:fldChar w:fldCharType="end"/>
      </w:r>
      <w:r w:rsidRPr="00D429A6">
        <w:rPr>
          <w:b/>
          <w:bCs/>
          <w:szCs w:val="18"/>
        </w:rPr>
        <w:t xml:space="preserve">: Distribution of </w:t>
      </w:r>
      <w:r>
        <w:rPr>
          <w:b/>
          <w:bCs/>
          <w:szCs w:val="18"/>
        </w:rPr>
        <w:t>survivor</w:t>
      </w:r>
      <w:r w:rsidRPr="00D429A6">
        <w:rPr>
          <w:b/>
          <w:bCs/>
          <w:szCs w:val="18"/>
        </w:rPr>
        <w:t xml:space="preserve"> claim amounts for each calendar year according to age at 1 January</w:t>
      </w:r>
    </w:p>
    <w:p w:rsidR="007B57B1" w:rsidRDefault="007B57B1" w:rsidP="00AD0700">
      <w:pPr>
        <w:jc w:val="both"/>
        <w:rPr>
          <w:spacing w:val="-3"/>
        </w:rPr>
      </w:pPr>
      <w:r>
        <w:rPr>
          <w:spacing w:val="-3"/>
        </w:rPr>
        <w:t xml:space="preserve">The sizes of the decedent costs are substantially higher than that of </w:t>
      </w:r>
      <w:r>
        <w:rPr>
          <w:w w:val="109"/>
        </w:rPr>
        <w:t xml:space="preserve">the survivor costs for every age category. </w:t>
      </w:r>
      <w:r>
        <w:rPr>
          <w:spacing w:val="-1"/>
        </w:rPr>
        <w:t xml:space="preserve">At 70 the average decedent </w:t>
      </w:r>
      <w:r>
        <w:t xml:space="preserve">costs reach their peak and start to diminish. The average survivor costs, however, </w:t>
      </w:r>
      <w:r>
        <w:rPr>
          <w:spacing w:val="-3"/>
        </w:rPr>
        <w:t xml:space="preserve">continue to rise substantially all the way to around 90 years of age.  This indicates </w:t>
      </w:r>
      <w:r>
        <w:rPr>
          <w:w w:val="105"/>
        </w:rPr>
        <w:t xml:space="preserve">that between ages 70 and 85 decedent expenditure decreased while survivor </w:t>
      </w:r>
      <w:r>
        <w:t xml:space="preserve">expenditure increased. </w:t>
      </w:r>
      <w:r w:rsidR="009040E7">
        <w:fldChar w:fldCharType="begin"/>
      </w:r>
      <w:r>
        <w:instrText xml:space="preserve"> ADDIN EN.CITE &lt;EndNote&gt;&lt;Cite AuthorYear="1"&gt;&lt;Author&gt;Calfo&lt;/Author&gt;&lt;Year&gt;2008&lt;/Year&gt;&lt;RecNum&gt;8&lt;/RecNum&gt;&lt;DisplayText&gt;Calfo et al. (2008)&lt;/DisplayText&gt;&lt;record&gt;&lt;rec-number&gt;8&lt;/rec-number&gt;&lt;foreign-keys&gt;&lt;key app="EN" db-id="x2dxrtfwlt0dd3erpz9va5vq5p5xret9aw5d"&gt;8&lt;/key&gt;&lt;/foreign-keys&gt;&lt;ref-type name="Web Page"&gt;12&lt;/ref-type&gt;&lt;contributors&gt;&lt;authors&gt;&lt;author&gt;Calfo, S&lt;/author&gt;&lt;author&gt;Smith, J&lt;/author&gt;&lt;author&gt;Zezza, M&lt;/author&gt;&lt;/authors&gt;&lt;/contributors&gt;&lt;titles&gt;&lt;title&gt;Last year of life study&lt;/title&gt;&lt;/titles&gt;&lt;volume&gt;2012&lt;/volume&gt;&lt;number&gt;30 April&lt;/number&gt;&lt;dates&gt;&lt;year&gt;2008&lt;/year&gt;&lt;/dates&gt;&lt;urls&gt;&lt;related-urls&gt;&lt;url&gt;http://www.cms.hhs.gov/ActuarialStudies/downloads/Last_Year_of_Life.pdf&lt;/url&gt;&lt;/related-urls&gt;&lt;/urls&gt;&lt;/record&gt;&lt;/Cite&gt;&lt;/EndNote&gt;</w:instrText>
      </w:r>
      <w:r w:rsidR="009040E7">
        <w:fldChar w:fldCharType="separate"/>
      </w:r>
      <w:hyperlink w:anchor="_ENREF_3" w:tooltip="Calfo, 2008 #8" w:history="1">
        <w:r>
          <w:rPr>
            <w:noProof/>
          </w:rPr>
          <w:t>Calfo et al. (2008</w:t>
        </w:r>
      </w:hyperlink>
      <w:r>
        <w:rPr>
          <w:noProof/>
        </w:rPr>
        <w:t>)</w:t>
      </w:r>
      <w:r w:rsidR="009040E7">
        <w:fldChar w:fldCharType="end"/>
      </w:r>
      <w:r>
        <w:t xml:space="preserve"> established an almost identical result in </w:t>
      </w:r>
      <w:r>
        <w:rPr>
          <w:spacing w:val="-3"/>
        </w:rPr>
        <w:t xml:space="preserve">their Medicare investigation but were unable to definitively explain the reason for </w:t>
      </w:r>
      <w:r>
        <w:rPr>
          <w:w w:val="108"/>
        </w:rPr>
        <w:t xml:space="preserve">this. Note that care needs to be taken when comparing these figures to the </w:t>
      </w:r>
      <w:r>
        <w:rPr>
          <w:spacing w:val="-3"/>
        </w:rPr>
        <w:t xml:space="preserve">distribution in Figure 3 as the age definition is different (Section </w:t>
      </w:r>
      <w:r w:rsidR="00134148">
        <w:rPr>
          <w:spacing w:val="-3"/>
        </w:rPr>
        <w:t>6.1.1</w:t>
      </w:r>
      <w:r>
        <w:rPr>
          <w:spacing w:val="-3"/>
        </w:rPr>
        <w:t>)</w:t>
      </w:r>
      <w:r w:rsidR="00134148">
        <w:rPr>
          <w:spacing w:val="-3"/>
        </w:rPr>
        <w:t>.</w:t>
      </w:r>
      <w:r>
        <w:rPr>
          <w:spacing w:val="-3"/>
        </w:rPr>
        <w:t xml:space="preserve"> </w:t>
      </w:r>
    </w:p>
    <w:p w:rsidR="007B57B1" w:rsidRPr="00F26530" w:rsidRDefault="00625779" w:rsidP="007B57B1">
      <w:pPr>
        <w:rPr>
          <w:caps/>
        </w:rPr>
      </w:pPr>
      <w:r>
        <w:rPr>
          <w:caps/>
        </w:rPr>
        <w:t>6</w:t>
      </w:r>
      <w:r w:rsidR="007B57B1" w:rsidRPr="00F26530">
        <w:rPr>
          <w:caps/>
        </w:rPr>
        <w:t xml:space="preserve">.2.2 Analysis of Decedent and Survivor Costs by Category of Expenditure </w:t>
      </w:r>
    </w:p>
    <w:p w:rsidR="007B57B1" w:rsidRDefault="007B57B1" w:rsidP="00AD0700">
      <w:pPr>
        <w:jc w:val="both"/>
        <w:rPr>
          <w:spacing w:val="-1"/>
        </w:rPr>
      </w:pPr>
      <w:r>
        <w:t xml:space="preserve">This analysis attempts to reveal which categories of expenditure contribute the </w:t>
      </w:r>
      <w:r>
        <w:rPr>
          <w:w w:val="105"/>
        </w:rPr>
        <w:t>most to the substantial difference between survivor and decedent costs</w:t>
      </w:r>
      <w:r>
        <w:rPr>
          <w:spacing w:val="-4"/>
        </w:rPr>
        <w:t xml:space="preserve">. Ratios between average survivor and decedent costs are calculated in </w:t>
      </w:r>
      <w:r w:rsidR="0066042D">
        <w:fldChar w:fldCharType="begin"/>
      </w:r>
      <w:r w:rsidR="0066042D">
        <w:instrText xml:space="preserve"> REF _Ref333241137 \h  \* MERGEFORMAT </w:instrText>
      </w:r>
      <w:r w:rsidR="0066042D">
        <w:fldChar w:fldCharType="separate"/>
      </w:r>
      <w:r w:rsidRPr="007B57B1">
        <w:rPr>
          <w:bCs/>
          <w:szCs w:val="18"/>
        </w:rPr>
        <w:t>Figure</w:t>
      </w:r>
      <w:r w:rsidRPr="00F26530">
        <w:rPr>
          <w:b/>
          <w:bCs/>
          <w:szCs w:val="18"/>
        </w:rPr>
        <w:t xml:space="preserve"> </w:t>
      </w:r>
      <w:r w:rsidRPr="007B57B1">
        <w:rPr>
          <w:b/>
          <w:bCs/>
          <w:szCs w:val="18"/>
        </w:rPr>
        <w:t>6</w:t>
      </w:r>
      <w:r w:rsidR="0066042D">
        <w:fldChar w:fldCharType="end"/>
      </w:r>
      <w:r>
        <w:rPr>
          <w:spacing w:val="-4"/>
        </w:rPr>
        <w:t xml:space="preserve"> </w:t>
      </w:r>
      <w:r>
        <w:rPr>
          <w:spacing w:val="-1"/>
        </w:rPr>
        <w:t xml:space="preserve">for each category of expenditure and for each calendar year. </w:t>
      </w:r>
    </w:p>
    <w:p w:rsidR="002B7516" w:rsidRDefault="002B7516" w:rsidP="002B7516">
      <w:pPr>
        <w:jc w:val="both"/>
        <w:rPr>
          <w:spacing w:val="-4"/>
        </w:rPr>
      </w:pPr>
      <w:r>
        <w:rPr>
          <w:spacing w:val="-1"/>
        </w:rPr>
        <w:t xml:space="preserve">It is observed that auxiliary, hospital costs, radiation/oncology, pathology and special benefits are </w:t>
      </w:r>
      <w:r>
        <w:t xml:space="preserve">the main causes of the disparity between survivor and decedent costs. </w:t>
      </w:r>
      <w:r>
        <w:rPr>
          <w:spacing w:val="-3"/>
        </w:rPr>
        <w:t xml:space="preserve">These are the same categories that contribute to high claimed amounts in the last year of life, observable in Section 6.1.2. Auxiliary, hospital and pathology are also the main contributors to the large jump in average costs between the first and </w:t>
      </w:r>
      <w:r>
        <w:rPr>
          <w:spacing w:val="-4"/>
        </w:rPr>
        <w:t xml:space="preserve">second last years of life. </w:t>
      </w:r>
    </w:p>
    <w:p w:rsidR="002B7516" w:rsidRDefault="002B7516" w:rsidP="00AD0700">
      <w:pPr>
        <w:jc w:val="both"/>
        <w:rPr>
          <w:spacing w:val="-4"/>
        </w:rPr>
      </w:pPr>
    </w:p>
    <w:p w:rsidR="007B57B1" w:rsidRDefault="007B57B1" w:rsidP="007B57B1">
      <w:pPr>
        <w:rPr>
          <w:spacing w:val="-3"/>
        </w:rPr>
      </w:pPr>
      <w:r>
        <w:rPr>
          <w:noProof/>
        </w:rPr>
        <w:lastRenderedPageBreak/>
        <w:drawing>
          <wp:inline distT="0" distB="0" distL="0" distR="0">
            <wp:extent cx="5200713" cy="2872596"/>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57B1" w:rsidRPr="00F26530" w:rsidRDefault="007B57B1" w:rsidP="007B57B1">
      <w:pPr>
        <w:rPr>
          <w:b/>
        </w:rPr>
      </w:pPr>
      <w:bookmarkStart w:id="9" w:name="_Ref333241137"/>
      <w:r w:rsidRPr="00F26530">
        <w:rPr>
          <w:b/>
          <w:bCs/>
          <w:szCs w:val="18"/>
        </w:rPr>
        <w:t xml:space="preserve">Figure </w:t>
      </w:r>
      <w:r w:rsidR="009040E7" w:rsidRPr="00F26530">
        <w:rPr>
          <w:b/>
          <w:bCs/>
          <w:szCs w:val="18"/>
        </w:rPr>
        <w:fldChar w:fldCharType="begin"/>
      </w:r>
      <w:r w:rsidRPr="00F26530">
        <w:rPr>
          <w:b/>
          <w:bCs/>
          <w:szCs w:val="18"/>
        </w:rPr>
        <w:instrText xml:space="preserve"> SEQ Figure \* ARABIC </w:instrText>
      </w:r>
      <w:r w:rsidR="009040E7" w:rsidRPr="00F26530">
        <w:rPr>
          <w:b/>
          <w:bCs/>
          <w:szCs w:val="18"/>
        </w:rPr>
        <w:fldChar w:fldCharType="separate"/>
      </w:r>
      <w:r>
        <w:rPr>
          <w:b/>
          <w:bCs/>
          <w:noProof/>
          <w:szCs w:val="18"/>
        </w:rPr>
        <w:t>6</w:t>
      </w:r>
      <w:r w:rsidR="009040E7" w:rsidRPr="00F26530">
        <w:rPr>
          <w:b/>
          <w:bCs/>
          <w:szCs w:val="18"/>
        </w:rPr>
        <w:fldChar w:fldCharType="end"/>
      </w:r>
      <w:bookmarkEnd w:id="9"/>
      <w:r w:rsidRPr="00F26530">
        <w:rPr>
          <w:b/>
          <w:bCs/>
          <w:szCs w:val="18"/>
        </w:rPr>
        <w:t xml:space="preserve">: </w:t>
      </w:r>
      <w:r w:rsidRPr="00F26530">
        <w:rPr>
          <w:b/>
        </w:rPr>
        <w:t xml:space="preserve">Ratios between average survivor and decedent claim amounts by category of expenditure for each year of the study period </w:t>
      </w:r>
    </w:p>
    <w:p w:rsidR="007B57B1" w:rsidRPr="00F26530" w:rsidRDefault="00625779" w:rsidP="007B57B1">
      <w:pPr>
        <w:rPr>
          <w:caps/>
        </w:rPr>
      </w:pPr>
      <w:r>
        <w:rPr>
          <w:caps/>
        </w:rPr>
        <w:t>6</w:t>
      </w:r>
      <w:r w:rsidR="007B57B1" w:rsidRPr="00F26530">
        <w:rPr>
          <w:caps/>
        </w:rPr>
        <w:t xml:space="preserve">.2.3 Analysis of Percentage of Decedent Costs provided in the Treatment of PMBs </w:t>
      </w:r>
    </w:p>
    <w:p w:rsidR="007B57B1" w:rsidRDefault="007B57B1" w:rsidP="00AD0700">
      <w:pPr>
        <w:jc w:val="both"/>
        <w:rPr>
          <w:color w:val="000000"/>
          <w:spacing w:val="-2"/>
          <w:szCs w:val="24"/>
        </w:rPr>
      </w:pPr>
      <w:r>
        <w:rPr>
          <w:spacing w:val="-1"/>
        </w:rPr>
        <w:t xml:space="preserve">The final analysis is conducted solely on decedent costs. It is revealed that a large majority of decedent costs, within each year, are incurred by medical schemes in </w:t>
      </w:r>
      <w:r>
        <w:rPr>
          <w:w w:val="108"/>
        </w:rPr>
        <w:t xml:space="preserve">the treatment of PMBs </w:t>
      </w:r>
      <w:r>
        <w:rPr>
          <w:spacing w:val="-3"/>
        </w:rPr>
        <w:t>(</w:t>
      </w:r>
      <w:r w:rsidR="009040E7">
        <w:rPr>
          <w:w w:val="113"/>
        </w:rPr>
        <w:fldChar w:fldCharType="begin"/>
      </w:r>
      <w:r>
        <w:rPr>
          <w:w w:val="113"/>
        </w:rPr>
        <w:instrText xml:space="preserve"> REF _Ref334263941 \h </w:instrText>
      </w:r>
      <w:r w:rsidR="009040E7">
        <w:rPr>
          <w:w w:val="113"/>
        </w:rPr>
      </w:r>
      <w:r w:rsidR="009040E7">
        <w:rPr>
          <w:w w:val="113"/>
        </w:rPr>
        <w:fldChar w:fldCharType="separate"/>
      </w:r>
      <w:r>
        <w:t xml:space="preserve">Table </w:t>
      </w:r>
      <w:r>
        <w:rPr>
          <w:noProof/>
        </w:rPr>
        <w:t>5</w:t>
      </w:r>
      <w:r w:rsidR="009040E7">
        <w:rPr>
          <w:w w:val="113"/>
        </w:rPr>
        <w:fldChar w:fldCharType="end"/>
      </w:r>
      <w:r>
        <w:rPr>
          <w:w w:val="113"/>
        </w:rPr>
        <w:t xml:space="preserve">). It is also evident that the percentage is </w:t>
      </w:r>
      <w:r>
        <w:rPr>
          <w:color w:val="000000"/>
          <w:spacing w:val="-2"/>
          <w:szCs w:val="24"/>
        </w:rPr>
        <w:t xml:space="preserve">increasing over the period, from 61.44% in 2008 to a massive 80.10% in 2011. </w:t>
      </w:r>
    </w:p>
    <w:p w:rsidR="007B57B1" w:rsidRDefault="007B57B1" w:rsidP="00AD0700">
      <w:pPr>
        <w:jc w:val="both"/>
        <w:rPr>
          <w:color w:val="000000"/>
          <w:spacing w:val="-2"/>
          <w:szCs w:val="24"/>
        </w:rPr>
      </w:pPr>
      <w:r>
        <w:rPr>
          <w:color w:val="000000"/>
          <w:spacing w:val="-2"/>
          <w:szCs w:val="24"/>
        </w:rPr>
        <w:t>This may be due to an underreporting of PMBs in the earlier years; it is likely that both member and provider awareness of PMBs has increased over time. In addition, PMBs are reimbursed at cost and not limited to medical scheme tariffs. It is thus possible that providers charge higher rates for PMBs than for non PMBs.</w:t>
      </w:r>
    </w:p>
    <w:p w:rsidR="007B57B1" w:rsidRDefault="007B57B1" w:rsidP="007B57B1">
      <w:pPr>
        <w:pStyle w:val="Caption"/>
      </w:pPr>
      <w:bookmarkStart w:id="10" w:name="_Ref334263941"/>
      <w:r>
        <w:t xml:space="preserve">Table </w:t>
      </w:r>
      <w:fldSimple w:instr=" SEQ Table \* ARABIC ">
        <w:r>
          <w:rPr>
            <w:noProof/>
          </w:rPr>
          <w:t>5</w:t>
        </w:r>
      </w:fldSimple>
      <w:bookmarkEnd w:id="10"/>
      <w:r w:rsidRPr="00C73653">
        <w:t xml:space="preserve">: </w:t>
      </w:r>
      <w:r>
        <w:t xml:space="preserve">Percentage of total decedent claim amounts utilised on the provision of PMBs </w:t>
      </w:r>
    </w:p>
    <w:p w:rsidR="007B57B1" w:rsidRDefault="0066042D" w:rsidP="007B57B1">
      <w:r>
        <w:rPr>
          <w:noProof/>
          <w:lang w:val="en-US" w:eastAsia="en-US"/>
        </w:rPr>
        <w:pict>
          <v:shape id="Text Box 11" o:spid="_x0000_s1031" type="#_x0000_t202" style="position:absolute;margin-left:18pt;margin-top:3.45pt;width:409.6pt;height:71.9pt;z-index:251773952;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" stroked="f">
            <v:fill opacity="0"/>
            <v:textbox style="mso-next-textbox:#Text Box 11" inset=",0">
              <w:txbxContent>
                <w:tbl>
                  <w:tblPr>
                    <w:tblW w:w="7939" w:type="dxa"/>
                    <w:tblInd w:w="-34" w:type="dxa"/>
                    <w:tblLook w:val="04A0" w:firstRow="1" w:lastRow="0" w:firstColumn="1" w:lastColumn="0" w:noHBand="0" w:noVBand="1"/>
                  </w:tblPr>
                  <w:tblGrid>
                    <w:gridCol w:w="1702"/>
                    <w:gridCol w:w="1559"/>
                    <w:gridCol w:w="1559"/>
                    <w:gridCol w:w="1843"/>
                    <w:gridCol w:w="1276"/>
                  </w:tblGrid>
                  <w:tr w:rsidR="0066042D" w:rsidRPr="00E65E05" w:rsidTr="00613B31">
                    <w:trPr>
                      <w:trHeight w:val="300"/>
                    </w:trPr>
                    <w:tc>
                      <w:tcPr>
                        <w:tcW w:w="1702" w:type="dxa"/>
                        <w:tcBorders>
                          <w:top w:val="single" w:sz="4" w:space="0" w:color="auto"/>
                          <w:left w:val="nil"/>
                          <w:bottom w:val="nil"/>
                          <w:right w:val="nil"/>
                        </w:tcBorders>
                        <w:shd w:val="clear" w:color="auto" w:fill="auto"/>
                        <w:noWrap/>
                        <w:vAlign w:val="center"/>
                        <w:hideMark/>
                      </w:tcPr>
                      <w:p w:rsidR="0066042D" w:rsidRPr="00E65E05" w:rsidRDefault="0066042D" w:rsidP="00613B31">
                        <w:pPr>
                          <w:spacing w:after="0"/>
                          <w:jc w:val="center"/>
                          <w:rPr>
                            <w:rFonts w:eastAsia="Times New Roman"/>
                            <w:color w:val="000000"/>
                          </w:rPr>
                        </w:pPr>
                      </w:p>
                    </w:tc>
                    <w:tc>
                      <w:tcPr>
                        <w:tcW w:w="6237" w:type="dxa"/>
                        <w:gridSpan w:val="4"/>
                        <w:tcBorders>
                          <w:top w:val="single" w:sz="4" w:space="0" w:color="auto"/>
                          <w:left w:val="nil"/>
                          <w:bottom w:val="single" w:sz="4" w:space="0" w:color="auto"/>
                          <w:right w:val="nil"/>
                        </w:tcBorders>
                        <w:shd w:val="clear" w:color="auto" w:fill="auto"/>
                        <w:noWrap/>
                        <w:vAlign w:val="center"/>
                        <w:hideMark/>
                      </w:tcPr>
                      <w:p w:rsidR="0066042D" w:rsidRPr="006708E0" w:rsidRDefault="0066042D" w:rsidP="00613B31">
                        <w:pPr>
                          <w:spacing w:after="0"/>
                          <w:jc w:val="center"/>
                          <w:rPr>
                            <w:rFonts w:eastAsia="Times New Roman"/>
                            <w:i/>
                            <w:color w:val="000000"/>
                          </w:rPr>
                        </w:pPr>
                        <w:r w:rsidRPr="006708E0">
                          <w:rPr>
                            <w:rFonts w:eastAsia="Times New Roman"/>
                            <w:i/>
                            <w:color w:val="000000"/>
                          </w:rPr>
                          <w:t>Year</w:t>
                        </w:r>
                      </w:p>
                    </w:tc>
                  </w:tr>
                  <w:tr w:rsidR="0066042D" w:rsidRPr="00E65E05" w:rsidTr="00613B31">
                    <w:trPr>
                      <w:trHeight w:val="300"/>
                    </w:trPr>
                    <w:tc>
                      <w:tcPr>
                        <w:tcW w:w="1702" w:type="dxa"/>
                        <w:tcBorders>
                          <w:top w:val="nil"/>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color w:val="000000"/>
                          </w:rPr>
                        </w:pPr>
                      </w:p>
                    </w:tc>
                    <w:tc>
                      <w:tcPr>
                        <w:tcW w:w="1559" w:type="dxa"/>
                        <w:tcBorders>
                          <w:top w:val="nil"/>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i/>
                            <w:color w:val="000000"/>
                          </w:rPr>
                        </w:pPr>
                        <w:r w:rsidRPr="00E65E05">
                          <w:rPr>
                            <w:rFonts w:eastAsia="Times New Roman"/>
                            <w:i/>
                            <w:color w:val="000000"/>
                          </w:rPr>
                          <w:t>2008</w:t>
                        </w:r>
                      </w:p>
                    </w:tc>
                    <w:tc>
                      <w:tcPr>
                        <w:tcW w:w="1559" w:type="dxa"/>
                        <w:tcBorders>
                          <w:top w:val="nil"/>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i/>
                            <w:color w:val="000000"/>
                          </w:rPr>
                        </w:pPr>
                        <w:r w:rsidRPr="00E65E05">
                          <w:rPr>
                            <w:rFonts w:eastAsia="Times New Roman"/>
                            <w:i/>
                            <w:color w:val="000000"/>
                          </w:rPr>
                          <w:t>2009</w:t>
                        </w:r>
                      </w:p>
                    </w:tc>
                    <w:tc>
                      <w:tcPr>
                        <w:tcW w:w="1843" w:type="dxa"/>
                        <w:tcBorders>
                          <w:top w:val="nil"/>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i/>
                            <w:color w:val="000000"/>
                          </w:rPr>
                        </w:pPr>
                        <w:r w:rsidRPr="00E65E05">
                          <w:rPr>
                            <w:rFonts w:eastAsia="Times New Roman"/>
                            <w:i/>
                            <w:color w:val="000000"/>
                          </w:rPr>
                          <w:t>2010</w:t>
                        </w:r>
                      </w:p>
                    </w:tc>
                    <w:tc>
                      <w:tcPr>
                        <w:tcW w:w="1276" w:type="dxa"/>
                        <w:tcBorders>
                          <w:top w:val="nil"/>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i/>
                            <w:color w:val="000000"/>
                          </w:rPr>
                        </w:pPr>
                        <w:r w:rsidRPr="00E65E05">
                          <w:rPr>
                            <w:rFonts w:eastAsia="Times New Roman"/>
                            <w:i/>
                            <w:color w:val="000000"/>
                          </w:rPr>
                          <w:t>2011</w:t>
                        </w:r>
                      </w:p>
                    </w:tc>
                  </w:tr>
                  <w:tr w:rsidR="0066042D" w:rsidRPr="00E65E05" w:rsidTr="00613B31">
                    <w:trPr>
                      <w:trHeight w:val="343"/>
                    </w:trPr>
                    <w:tc>
                      <w:tcPr>
                        <w:tcW w:w="1702" w:type="dxa"/>
                        <w:tcBorders>
                          <w:top w:val="single" w:sz="4" w:space="0" w:color="auto"/>
                          <w:left w:val="nil"/>
                          <w:bottom w:val="single" w:sz="4" w:space="0" w:color="auto"/>
                          <w:right w:val="nil"/>
                        </w:tcBorders>
                        <w:shd w:val="clear" w:color="auto" w:fill="auto"/>
                        <w:noWrap/>
                        <w:vAlign w:val="center"/>
                        <w:hideMark/>
                      </w:tcPr>
                      <w:p w:rsidR="0066042D" w:rsidRPr="0004494D" w:rsidRDefault="0066042D" w:rsidP="00613B31">
                        <w:pPr>
                          <w:spacing w:after="0"/>
                          <w:rPr>
                            <w:rFonts w:eastAsia="Times New Roman"/>
                            <w:color w:val="000000"/>
                          </w:rPr>
                        </w:pPr>
                        <w:r w:rsidRPr="0004494D">
                          <w:rPr>
                            <w:rFonts w:eastAsia="Times New Roman"/>
                            <w:color w:val="000000"/>
                          </w:rPr>
                          <w:t>Percentage</w:t>
                        </w:r>
                      </w:p>
                    </w:tc>
                    <w:tc>
                      <w:tcPr>
                        <w:tcW w:w="1559" w:type="dxa"/>
                        <w:tcBorders>
                          <w:top w:val="single" w:sz="4" w:space="0" w:color="auto"/>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color w:val="000000"/>
                            <w:sz w:val="21"/>
                            <w:szCs w:val="21"/>
                          </w:rPr>
                        </w:pPr>
                        <w:r w:rsidRPr="00E65E05">
                          <w:rPr>
                            <w:rFonts w:eastAsia="Times New Roman"/>
                            <w:color w:val="000000"/>
                            <w:sz w:val="21"/>
                            <w:szCs w:val="21"/>
                          </w:rPr>
                          <w:t>61.44%</w:t>
                        </w:r>
                      </w:p>
                    </w:tc>
                    <w:tc>
                      <w:tcPr>
                        <w:tcW w:w="1559" w:type="dxa"/>
                        <w:tcBorders>
                          <w:top w:val="single" w:sz="4" w:space="0" w:color="auto"/>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color w:val="000000"/>
                            <w:sz w:val="21"/>
                            <w:szCs w:val="21"/>
                          </w:rPr>
                        </w:pPr>
                        <w:r>
                          <w:rPr>
                            <w:rFonts w:eastAsia="Times New Roman"/>
                            <w:color w:val="000000"/>
                            <w:sz w:val="21"/>
                            <w:szCs w:val="21"/>
                          </w:rPr>
                          <w:t>69.29</w:t>
                        </w:r>
                        <w:r w:rsidRPr="00E65E05">
                          <w:rPr>
                            <w:rFonts w:eastAsia="Times New Roman"/>
                            <w:color w:val="000000"/>
                            <w:sz w:val="21"/>
                            <w:szCs w:val="21"/>
                          </w:rPr>
                          <w:t>%</w:t>
                        </w:r>
                      </w:p>
                    </w:tc>
                    <w:tc>
                      <w:tcPr>
                        <w:tcW w:w="1843" w:type="dxa"/>
                        <w:tcBorders>
                          <w:top w:val="single" w:sz="4" w:space="0" w:color="auto"/>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color w:val="000000"/>
                            <w:sz w:val="21"/>
                            <w:szCs w:val="21"/>
                          </w:rPr>
                        </w:pPr>
                        <w:r>
                          <w:rPr>
                            <w:rFonts w:eastAsia="Times New Roman"/>
                            <w:color w:val="000000"/>
                            <w:sz w:val="21"/>
                            <w:szCs w:val="21"/>
                          </w:rPr>
                          <w:t>73.71</w:t>
                        </w:r>
                        <w:r w:rsidRPr="00E65E05">
                          <w:rPr>
                            <w:rFonts w:eastAsia="Times New Roman"/>
                            <w:color w:val="000000"/>
                            <w:sz w:val="21"/>
                            <w:szCs w:val="21"/>
                          </w:rPr>
                          <w:t>%</w:t>
                        </w:r>
                      </w:p>
                    </w:tc>
                    <w:tc>
                      <w:tcPr>
                        <w:tcW w:w="1276" w:type="dxa"/>
                        <w:tcBorders>
                          <w:top w:val="single" w:sz="4" w:space="0" w:color="auto"/>
                          <w:left w:val="nil"/>
                          <w:bottom w:val="single" w:sz="4" w:space="0" w:color="auto"/>
                          <w:right w:val="nil"/>
                        </w:tcBorders>
                        <w:shd w:val="clear" w:color="auto" w:fill="auto"/>
                        <w:noWrap/>
                        <w:vAlign w:val="center"/>
                        <w:hideMark/>
                      </w:tcPr>
                      <w:p w:rsidR="0066042D" w:rsidRPr="00E65E05" w:rsidRDefault="0066042D" w:rsidP="00613B31">
                        <w:pPr>
                          <w:spacing w:after="0"/>
                          <w:jc w:val="center"/>
                          <w:rPr>
                            <w:rFonts w:eastAsia="Times New Roman"/>
                            <w:b/>
                            <w:color w:val="000000"/>
                            <w:sz w:val="21"/>
                            <w:szCs w:val="21"/>
                          </w:rPr>
                        </w:pPr>
                        <w:r w:rsidRPr="00E65E05">
                          <w:rPr>
                            <w:rFonts w:eastAsia="Times New Roman"/>
                            <w:b/>
                            <w:color w:val="000000"/>
                            <w:sz w:val="21"/>
                            <w:szCs w:val="21"/>
                          </w:rPr>
                          <w:t>80.10%</w:t>
                        </w:r>
                      </w:p>
                    </w:tc>
                  </w:tr>
                </w:tbl>
                <w:p w:rsidR="0066042D" w:rsidRDefault="0066042D" w:rsidP="007B57B1"/>
              </w:txbxContent>
            </v:textbox>
            <w10:wrap type="through"/>
          </v:shape>
        </w:pict>
      </w:r>
    </w:p>
    <w:p w:rsidR="007B57B1" w:rsidRDefault="007B57B1" w:rsidP="007B57B1">
      <w:pPr>
        <w:pStyle w:val="ListParagraph"/>
        <w:ind w:left="360"/>
        <w:rPr>
          <w:caps/>
        </w:rPr>
      </w:pPr>
    </w:p>
    <w:p w:rsidR="007B57B1" w:rsidRDefault="007B57B1" w:rsidP="007B57B1">
      <w:pPr>
        <w:pStyle w:val="ListParagraph"/>
        <w:ind w:left="360"/>
        <w:rPr>
          <w:caps/>
        </w:rPr>
      </w:pPr>
    </w:p>
    <w:p w:rsidR="007B57B1" w:rsidRPr="00F26530" w:rsidRDefault="007B57B1" w:rsidP="007B57B1">
      <w:pPr>
        <w:pStyle w:val="ListParagraph"/>
        <w:ind w:left="360"/>
        <w:rPr>
          <w:caps/>
        </w:rPr>
      </w:pPr>
    </w:p>
    <w:p w:rsidR="00EC6645" w:rsidRPr="00F26530" w:rsidRDefault="00EC6645" w:rsidP="00F26530">
      <w:pPr>
        <w:pStyle w:val="ListParagraph"/>
        <w:numPr>
          <w:ilvl w:val="0"/>
          <w:numId w:val="25"/>
        </w:numPr>
        <w:rPr>
          <w:caps/>
        </w:rPr>
      </w:pPr>
      <w:bookmarkStart w:id="11" w:name="Pg23"/>
      <w:bookmarkEnd w:id="11"/>
      <w:r w:rsidRPr="00F26530">
        <w:rPr>
          <w:caps/>
        </w:rPr>
        <w:t>Discussion and Conclusions</w:t>
      </w:r>
    </w:p>
    <w:p w:rsidR="00EC6645" w:rsidRPr="00F26530" w:rsidRDefault="00625779" w:rsidP="00F26530">
      <w:pPr>
        <w:rPr>
          <w:caps/>
        </w:rPr>
      </w:pPr>
      <w:r>
        <w:rPr>
          <w:caps/>
        </w:rPr>
        <w:t>7</w:t>
      </w:r>
      <w:r w:rsidR="00F26530">
        <w:rPr>
          <w:caps/>
        </w:rPr>
        <w:t>.1</w:t>
      </w:r>
      <w:r w:rsidR="00F26530">
        <w:rPr>
          <w:caps/>
        </w:rPr>
        <w:tab/>
        <w:t>High Last-Year-of-</w:t>
      </w:r>
      <w:r w:rsidR="00EC6645" w:rsidRPr="00F26530">
        <w:rPr>
          <w:caps/>
        </w:rPr>
        <w:t xml:space="preserve">Life Costs </w:t>
      </w:r>
    </w:p>
    <w:p w:rsidR="003169A2" w:rsidRDefault="00EC6645" w:rsidP="00AD0700">
      <w:pPr>
        <w:jc w:val="both"/>
        <w:rPr>
          <w:spacing w:val="-3"/>
          <w:szCs w:val="24"/>
        </w:rPr>
      </w:pPr>
      <w:r>
        <w:rPr>
          <w:w w:val="104"/>
          <w:szCs w:val="24"/>
        </w:rPr>
        <w:t>The most noteworthy finding in the investigation is the large extent to which</w:t>
      </w:r>
      <w:r w:rsidR="00670D86">
        <w:rPr>
          <w:w w:val="104"/>
          <w:szCs w:val="24"/>
        </w:rPr>
        <w:t xml:space="preserve"> </w:t>
      </w:r>
      <w:r>
        <w:rPr>
          <w:spacing w:val="-4"/>
          <w:szCs w:val="24"/>
        </w:rPr>
        <w:t xml:space="preserve">average costs in the last year of life exceed average costs in the earlier years prior </w:t>
      </w:r>
      <w:r>
        <w:rPr>
          <w:spacing w:val="-1"/>
          <w:szCs w:val="24"/>
        </w:rPr>
        <w:t xml:space="preserve">to death. In addition, it is shown that average decedent costs are at least 15 times </w:t>
      </w:r>
      <w:r>
        <w:rPr>
          <w:szCs w:val="24"/>
        </w:rPr>
        <w:t xml:space="preserve">greater than average survivor costs. These two findings illustrate the significant </w:t>
      </w:r>
      <w:r>
        <w:rPr>
          <w:spacing w:val="-3"/>
          <w:szCs w:val="24"/>
        </w:rPr>
        <w:t xml:space="preserve">medical </w:t>
      </w:r>
      <w:r w:rsidR="00404975">
        <w:rPr>
          <w:spacing w:val="-3"/>
          <w:szCs w:val="24"/>
        </w:rPr>
        <w:t>expenditure that health insurers</w:t>
      </w:r>
      <w:r>
        <w:rPr>
          <w:spacing w:val="-3"/>
          <w:szCs w:val="24"/>
        </w:rPr>
        <w:t xml:space="preserve"> incur on beneficiaries in their last year </w:t>
      </w:r>
      <w:r>
        <w:rPr>
          <w:spacing w:val="-1"/>
          <w:szCs w:val="24"/>
        </w:rPr>
        <w:t xml:space="preserve">of life. These findings also reveal that the significance of costs in the last year of </w:t>
      </w:r>
      <w:r>
        <w:rPr>
          <w:spacing w:val="-3"/>
          <w:szCs w:val="24"/>
        </w:rPr>
        <w:t>life has increased since the investigation by</w:t>
      </w:r>
      <w:r w:rsidR="003169A2">
        <w:rPr>
          <w:spacing w:val="-3"/>
          <w:szCs w:val="24"/>
        </w:rPr>
        <w:t xml:space="preserve"> </w:t>
      </w:r>
      <w:r w:rsidR="009040E7">
        <w:rPr>
          <w:spacing w:val="-3"/>
          <w:szCs w:val="24"/>
        </w:rPr>
        <w:fldChar w:fldCharType="begin"/>
      </w:r>
      <w:r w:rsidR="003169A2">
        <w:rPr>
          <w:spacing w:val="-3"/>
          <w:szCs w:val="24"/>
        </w:rPr>
        <w:instrText xml:space="preserve"> ADDIN EN.CITE &lt;EndNote&gt;&lt;Cite AuthorYear="1"&gt;&lt;Author&gt;Moodley&lt;/Author&gt;&lt;Year&gt;2001&lt;/Year&gt;&lt;RecNum&gt;4&lt;/RecNum&gt;&lt;DisplayText&gt;Moodley and McLeod (2001)&lt;/DisplayText&gt;&lt;record&gt;&lt;rec-number&gt;4&lt;/rec-number&gt;&lt;foreign-keys&gt;&lt;key app="EN" db-id="x2dxrtfwlt0dd3erpz9va5vq5p5xret9aw5d"&gt;4&lt;/key&gt;&lt;/foreign-keys&gt;&lt;ref-type name="Report"&gt;27&lt;/ref-type&gt;&lt;contributors&gt;&lt;authors&gt;&lt;author&gt;Moodley, P.&lt;/author&gt;&lt;author&gt;McLeod, H.&lt;/author&gt;&lt;/authors&gt;&lt;/contributors&gt;&lt;titles&gt;&lt;title&gt;An Investigation into Healthcare Costs in the Last-Year-of-Life&lt;/title&gt;&lt;secondary-title&gt;CARe Research Monographs&lt;/secondary-title&gt;&lt;/titles&gt;&lt;dates&gt;&lt;year&gt;2001&lt;/year&gt;&lt;/dates&gt;&lt;pub-location&gt;Cape Town&lt;/pub-location&gt;&lt;publisher&gt;Centre for Actuarial Research&lt;/publisher&gt;&lt;urls&gt;&lt;/urls&gt;&lt;/record&gt;&lt;/Cite&gt;&lt;/EndNote&gt;</w:instrText>
      </w:r>
      <w:r w:rsidR="009040E7">
        <w:rPr>
          <w:spacing w:val="-3"/>
          <w:szCs w:val="24"/>
        </w:rPr>
        <w:fldChar w:fldCharType="separate"/>
      </w:r>
      <w:hyperlink w:anchor="_ENREF_16" w:tooltip="Moodley, 2001 #4" w:history="1">
        <w:r w:rsidR="00423904">
          <w:rPr>
            <w:noProof/>
            <w:spacing w:val="-3"/>
            <w:szCs w:val="24"/>
          </w:rPr>
          <w:t>Moodley and McLeod (2001</w:t>
        </w:r>
      </w:hyperlink>
      <w:r w:rsidR="003169A2">
        <w:rPr>
          <w:noProof/>
          <w:spacing w:val="-3"/>
          <w:szCs w:val="24"/>
        </w:rPr>
        <w:t>)</w:t>
      </w:r>
      <w:r w:rsidR="009040E7">
        <w:rPr>
          <w:spacing w:val="-3"/>
          <w:szCs w:val="24"/>
        </w:rPr>
        <w:fldChar w:fldCharType="end"/>
      </w:r>
      <w:r>
        <w:rPr>
          <w:spacing w:val="-3"/>
          <w:szCs w:val="24"/>
        </w:rPr>
        <w:t xml:space="preserve">. </w:t>
      </w:r>
      <w:r w:rsidR="003169A2">
        <w:rPr>
          <w:spacing w:val="-3"/>
          <w:szCs w:val="24"/>
        </w:rPr>
        <w:t xml:space="preserve">This </w:t>
      </w:r>
      <w:r w:rsidR="003169A2">
        <w:rPr>
          <w:spacing w:val="-3"/>
          <w:szCs w:val="24"/>
        </w:rPr>
        <w:lastRenderedPageBreak/>
        <w:t>was expected due to changes in the</w:t>
      </w:r>
      <w:r w:rsidR="00404975">
        <w:rPr>
          <w:spacing w:val="-3"/>
          <w:szCs w:val="24"/>
        </w:rPr>
        <w:t xml:space="preserve"> South African</w:t>
      </w:r>
      <w:r w:rsidR="003169A2">
        <w:rPr>
          <w:spacing w:val="-3"/>
          <w:szCs w:val="24"/>
        </w:rPr>
        <w:t xml:space="preserve"> regulatory environment that encourage anti-selection (namely open </w:t>
      </w:r>
      <w:r w:rsidR="00490B23">
        <w:rPr>
          <w:spacing w:val="-3"/>
          <w:szCs w:val="24"/>
        </w:rPr>
        <w:t>enrolment</w:t>
      </w:r>
      <w:r w:rsidR="003169A2">
        <w:rPr>
          <w:spacing w:val="-3"/>
          <w:szCs w:val="24"/>
        </w:rPr>
        <w:t>, community rating and voluntary membership).</w:t>
      </w:r>
    </w:p>
    <w:p w:rsidR="003169A2" w:rsidRDefault="00EC6645" w:rsidP="00AD0700">
      <w:pPr>
        <w:jc w:val="both"/>
        <w:rPr>
          <w:spacing w:val="-3"/>
          <w:szCs w:val="24"/>
        </w:rPr>
      </w:pPr>
      <w:r>
        <w:rPr>
          <w:spacing w:val="-3"/>
          <w:szCs w:val="24"/>
        </w:rPr>
        <w:t xml:space="preserve">It needs </w:t>
      </w:r>
      <w:r>
        <w:rPr>
          <w:spacing w:val="-1"/>
          <w:szCs w:val="24"/>
        </w:rPr>
        <w:t xml:space="preserve">to be noted, however, that even though costs in the last year of life are shown to </w:t>
      </w:r>
      <w:r>
        <w:rPr>
          <w:szCs w:val="24"/>
        </w:rPr>
        <w:t xml:space="preserve">have a </w:t>
      </w:r>
      <w:r w:rsidR="00404975">
        <w:rPr>
          <w:szCs w:val="24"/>
        </w:rPr>
        <w:t>financial</w:t>
      </w:r>
      <w:r>
        <w:rPr>
          <w:szCs w:val="24"/>
        </w:rPr>
        <w:t xml:space="preserve"> impact per year of exposure, significant exposure is still needed to </w:t>
      </w:r>
      <w:r>
        <w:rPr>
          <w:spacing w:val="-4"/>
          <w:szCs w:val="24"/>
        </w:rPr>
        <w:t xml:space="preserve">have an impact </w:t>
      </w:r>
      <w:r w:rsidR="00404975">
        <w:rPr>
          <w:spacing w:val="-4"/>
          <w:szCs w:val="24"/>
        </w:rPr>
        <w:t>overall</w:t>
      </w:r>
      <w:r>
        <w:rPr>
          <w:spacing w:val="-4"/>
          <w:szCs w:val="24"/>
        </w:rPr>
        <w:t xml:space="preserve">. The fact that costs in the last year </w:t>
      </w:r>
      <w:r>
        <w:rPr>
          <w:szCs w:val="24"/>
        </w:rPr>
        <w:t>of life only const</w:t>
      </w:r>
      <w:r w:rsidR="00134148">
        <w:rPr>
          <w:szCs w:val="24"/>
        </w:rPr>
        <w:t>itute between 3.93</w:t>
      </w:r>
      <w:r>
        <w:rPr>
          <w:szCs w:val="24"/>
        </w:rPr>
        <w:t xml:space="preserve">% and 6.57% of the total </w:t>
      </w:r>
      <w:r>
        <w:rPr>
          <w:spacing w:val="-3"/>
          <w:szCs w:val="24"/>
        </w:rPr>
        <w:t xml:space="preserve">yearly expenditure shows that medical schemes </w:t>
      </w:r>
      <w:r w:rsidR="00AA2AD8">
        <w:rPr>
          <w:spacing w:val="-3"/>
          <w:szCs w:val="24"/>
        </w:rPr>
        <w:t xml:space="preserve">currently </w:t>
      </w:r>
      <w:r>
        <w:rPr>
          <w:spacing w:val="-3"/>
          <w:szCs w:val="24"/>
        </w:rPr>
        <w:t xml:space="preserve">have limited exposure to the risks </w:t>
      </w:r>
      <w:r>
        <w:rPr>
          <w:spacing w:val="-4"/>
          <w:szCs w:val="24"/>
        </w:rPr>
        <w:t xml:space="preserve">imposed by beneficiaries in their last year of life. </w:t>
      </w:r>
      <w:r w:rsidR="00AA2AD8">
        <w:rPr>
          <w:spacing w:val="-2"/>
          <w:szCs w:val="24"/>
        </w:rPr>
        <w:t xml:space="preserve">In addition, </w:t>
      </w:r>
      <w:r>
        <w:rPr>
          <w:w w:val="102"/>
          <w:szCs w:val="24"/>
        </w:rPr>
        <w:t>between 61.44% and 80.1</w:t>
      </w:r>
      <w:r w:rsidR="003169A2">
        <w:rPr>
          <w:w w:val="102"/>
          <w:szCs w:val="24"/>
        </w:rPr>
        <w:t>0</w:t>
      </w:r>
      <w:r>
        <w:rPr>
          <w:w w:val="102"/>
          <w:szCs w:val="24"/>
        </w:rPr>
        <w:t xml:space="preserve">% of costs in the last year of life are </w:t>
      </w:r>
      <w:r>
        <w:rPr>
          <w:szCs w:val="24"/>
        </w:rPr>
        <w:t xml:space="preserve">incurred in the treatment of PMBs. This implies that, for example, only 1.7% of </w:t>
      </w:r>
      <w:r>
        <w:rPr>
          <w:spacing w:val="-2"/>
          <w:szCs w:val="24"/>
        </w:rPr>
        <w:t>total costs would have been affected by attempting to ration last</w:t>
      </w:r>
      <w:r w:rsidR="00AA2AD8">
        <w:rPr>
          <w:spacing w:val="-2"/>
          <w:szCs w:val="24"/>
        </w:rPr>
        <w:t>-</w:t>
      </w:r>
      <w:r>
        <w:rPr>
          <w:spacing w:val="-2"/>
          <w:szCs w:val="24"/>
        </w:rPr>
        <w:t>year</w:t>
      </w:r>
      <w:r w:rsidR="00AA2AD8">
        <w:rPr>
          <w:spacing w:val="-2"/>
          <w:szCs w:val="24"/>
        </w:rPr>
        <w:t>-</w:t>
      </w:r>
      <w:r>
        <w:rPr>
          <w:spacing w:val="-2"/>
          <w:szCs w:val="24"/>
        </w:rPr>
        <w:t>of</w:t>
      </w:r>
      <w:r w:rsidR="00AA2AD8">
        <w:rPr>
          <w:spacing w:val="-2"/>
          <w:szCs w:val="24"/>
        </w:rPr>
        <w:t>-</w:t>
      </w:r>
      <w:r>
        <w:rPr>
          <w:spacing w:val="-2"/>
          <w:szCs w:val="24"/>
        </w:rPr>
        <w:t xml:space="preserve">life costs </w:t>
      </w:r>
      <w:r>
        <w:rPr>
          <w:spacing w:val="-3"/>
          <w:szCs w:val="24"/>
        </w:rPr>
        <w:t xml:space="preserve">in 2010. </w:t>
      </w:r>
    </w:p>
    <w:p w:rsidR="001A035D" w:rsidRDefault="003169A2" w:rsidP="00AD0700">
      <w:pPr>
        <w:jc w:val="both"/>
        <w:rPr>
          <w:spacing w:val="-5"/>
        </w:rPr>
      </w:pPr>
      <w:r>
        <w:rPr>
          <w:spacing w:val="-3"/>
          <w:szCs w:val="24"/>
        </w:rPr>
        <w:t xml:space="preserve">The current regulatory environment leaves </w:t>
      </w:r>
      <w:r w:rsidR="00EC6645">
        <w:rPr>
          <w:spacing w:val="-3"/>
          <w:szCs w:val="24"/>
        </w:rPr>
        <w:t xml:space="preserve">medical schemes </w:t>
      </w:r>
      <w:r w:rsidR="003F4AE2">
        <w:rPr>
          <w:spacing w:val="-2"/>
          <w:szCs w:val="24"/>
        </w:rPr>
        <w:t xml:space="preserve">vulnerable to </w:t>
      </w:r>
      <w:r w:rsidR="00EC6645">
        <w:rPr>
          <w:spacing w:val="-2"/>
          <w:szCs w:val="24"/>
        </w:rPr>
        <w:t>a substantial increase in exposure to beneficiaries in their last year of life</w:t>
      </w:r>
      <w:r w:rsidR="00A96063">
        <w:rPr>
          <w:spacing w:val="-2"/>
          <w:szCs w:val="24"/>
        </w:rPr>
        <w:t xml:space="preserve"> as schemes have little protection against anti-selective behaviour</w:t>
      </w:r>
      <w:r w:rsidR="00EC6645">
        <w:rPr>
          <w:spacing w:val="-2"/>
          <w:szCs w:val="24"/>
        </w:rPr>
        <w:t xml:space="preserve">. </w:t>
      </w:r>
      <w:bookmarkStart w:id="12" w:name="Pg24"/>
      <w:bookmarkEnd w:id="12"/>
      <w:r w:rsidR="00A96063">
        <w:t>In addi</w:t>
      </w:r>
      <w:r w:rsidR="001A035D">
        <w:t>ti</w:t>
      </w:r>
      <w:r w:rsidR="00A96063">
        <w:t xml:space="preserve">on, with </w:t>
      </w:r>
      <w:r w:rsidR="003F4AE2">
        <w:t xml:space="preserve">PMBs </w:t>
      </w:r>
      <w:r w:rsidR="00A96063">
        <w:t xml:space="preserve">comprising </w:t>
      </w:r>
      <w:r w:rsidR="003F4AE2">
        <w:t xml:space="preserve">a large </w:t>
      </w:r>
      <w:r w:rsidR="00A96063">
        <w:t xml:space="preserve">percentage </w:t>
      </w:r>
      <w:r w:rsidR="003F4AE2">
        <w:t xml:space="preserve">of costs in the last year of life, medical schemes </w:t>
      </w:r>
      <w:r w:rsidR="00A96063">
        <w:t xml:space="preserve">are </w:t>
      </w:r>
      <w:r w:rsidR="003F4AE2">
        <w:t xml:space="preserve">obliged to reimburse </w:t>
      </w:r>
      <w:r w:rsidR="003A177C">
        <w:t xml:space="preserve">the </w:t>
      </w:r>
      <w:r w:rsidR="003F4AE2">
        <w:t xml:space="preserve">majority of the </w:t>
      </w:r>
      <w:r w:rsidR="003A177C">
        <w:t>claims</w:t>
      </w:r>
      <w:r w:rsidR="001A035D">
        <w:t xml:space="preserve"> and the scope for rationing is constrained</w:t>
      </w:r>
      <w:r w:rsidR="003F4AE2">
        <w:t>.</w:t>
      </w:r>
      <w:r w:rsidR="00A96063">
        <w:t xml:space="preserve"> </w:t>
      </w:r>
      <w:r w:rsidR="001A035D">
        <w:t xml:space="preserve">There may, however, be scope for schemes to engage more proactively with mechanisms for managing PMB costs such as the contracting with designated service providers. </w:t>
      </w:r>
    </w:p>
    <w:p w:rsidR="00EC6645" w:rsidRPr="008F5B50" w:rsidRDefault="00625779" w:rsidP="00670D86">
      <w:pPr>
        <w:rPr>
          <w:caps/>
        </w:rPr>
      </w:pPr>
      <w:r>
        <w:rPr>
          <w:caps/>
        </w:rPr>
        <w:t>7</w:t>
      </w:r>
      <w:r w:rsidR="00EC6645" w:rsidRPr="008F5B50">
        <w:rPr>
          <w:caps/>
        </w:rPr>
        <w:t xml:space="preserve">.2 </w:t>
      </w:r>
      <w:r w:rsidR="00EC6645" w:rsidRPr="008F5B50">
        <w:rPr>
          <w:caps/>
        </w:rPr>
        <w:tab/>
        <w:t>K</w:t>
      </w:r>
      <w:r w:rsidR="008F5B50">
        <w:rPr>
          <w:caps/>
        </w:rPr>
        <w:t>ey Factors influencing Last-Year-of-</w:t>
      </w:r>
      <w:r w:rsidR="00EC6645" w:rsidRPr="008F5B50">
        <w:rPr>
          <w:caps/>
        </w:rPr>
        <w:t xml:space="preserve">Life Costs </w:t>
      </w:r>
    </w:p>
    <w:p w:rsidR="00EC6645" w:rsidRDefault="00490B23" w:rsidP="00AD0700">
      <w:pPr>
        <w:jc w:val="both"/>
        <w:rPr>
          <w:spacing w:val="-3"/>
        </w:rPr>
      </w:pPr>
      <w:r>
        <w:rPr>
          <w:spacing w:val="-2"/>
        </w:rPr>
        <w:t>Having established</w:t>
      </w:r>
      <w:r w:rsidR="00EC6645">
        <w:rPr>
          <w:spacing w:val="-2"/>
        </w:rPr>
        <w:t xml:space="preserve"> the significance of costs in the last year of life, it is important </w:t>
      </w:r>
      <w:r w:rsidR="00EC6645">
        <w:rPr>
          <w:spacing w:val="-3"/>
        </w:rPr>
        <w:t xml:space="preserve">to conclude on the main factors that are responsible for this finding. These factors </w:t>
      </w:r>
      <w:r w:rsidR="00EC6645">
        <w:rPr>
          <w:w w:val="102"/>
        </w:rPr>
        <w:t>are important to consider</w:t>
      </w:r>
      <w:r>
        <w:rPr>
          <w:w w:val="102"/>
        </w:rPr>
        <w:t xml:space="preserve"> as</w:t>
      </w:r>
      <w:r w:rsidR="00EC6645">
        <w:rPr>
          <w:w w:val="102"/>
        </w:rPr>
        <w:t xml:space="preserve"> they provide themes on which to </w:t>
      </w:r>
      <w:r w:rsidR="00EC6645">
        <w:rPr>
          <w:spacing w:val="-3"/>
        </w:rPr>
        <w:t xml:space="preserve">focus further </w:t>
      </w:r>
      <w:r>
        <w:rPr>
          <w:spacing w:val="-3"/>
        </w:rPr>
        <w:t>research</w:t>
      </w:r>
      <w:r w:rsidR="00EC6645">
        <w:rPr>
          <w:spacing w:val="-3"/>
        </w:rPr>
        <w:t xml:space="preserve"> into healthcare costs in the last year of life. Three main factors are observed to have the most notable impact on last</w:t>
      </w:r>
      <w:r w:rsidR="003A177C">
        <w:rPr>
          <w:spacing w:val="-3"/>
        </w:rPr>
        <w:t>-</w:t>
      </w:r>
      <w:r w:rsidR="00EC6645">
        <w:rPr>
          <w:spacing w:val="-3"/>
        </w:rPr>
        <w:t>year</w:t>
      </w:r>
      <w:r w:rsidR="003A177C">
        <w:rPr>
          <w:spacing w:val="-3"/>
        </w:rPr>
        <w:t>-</w:t>
      </w:r>
      <w:r w:rsidR="00EC6645">
        <w:rPr>
          <w:spacing w:val="-3"/>
        </w:rPr>
        <w:t>of</w:t>
      </w:r>
      <w:r w:rsidR="003A177C">
        <w:rPr>
          <w:spacing w:val="-3"/>
        </w:rPr>
        <w:t>-</w:t>
      </w:r>
      <w:r w:rsidR="00EC6645">
        <w:rPr>
          <w:spacing w:val="-3"/>
        </w:rPr>
        <w:t xml:space="preserve">life costs. The </w:t>
      </w:r>
      <w:r w:rsidR="00EC6645">
        <w:t xml:space="preserve">first, and possibly most influential, factor to consider is the dominance hospital </w:t>
      </w:r>
      <w:r w:rsidR="00EC6645">
        <w:rPr>
          <w:spacing w:val="-2"/>
        </w:rPr>
        <w:t xml:space="preserve">costs hold over the size of total costs in the last year of life. Almost 60% of costs </w:t>
      </w:r>
      <w:r w:rsidR="00EC6645">
        <w:rPr>
          <w:spacing w:val="-1"/>
        </w:rPr>
        <w:t>can be attributed to expenditure on hospital care and,</w:t>
      </w:r>
      <w:r>
        <w:rPr>
          <w:spacing w:val="-1"/>
        </w:rPr>
        <w:t xml:space="preserve"> as stated previously, this is </w:t>
      </w:r>
      <w:r w:rsidR="00EC6645">
        <w:rPr>
          <w:spacing w:val="-2"/>
        </w:rPr>
        <w:t xml:space="preserve">not a result restricted to the South African healthcare industry. The second factor to consider is the impact that young beneficiaries have on costs in the last year of </w:t>
      </w:r>
      <w:r w:rsidR="00EC6645">
        <w:rPr>
          <w:spacing w:val="-1"/>
        </w:rPr>
        <w:t>life. In particular, neonatal average last</w:t>
      </w:r>
      <w:r w:rsidR="00AA2AD8">
        <w:rPr>
          <w:spacing w:val="-1"/>
        </w:rPr>
        <w:t>-</w:t>
      </w:r>
      <w:r w:rsidR="00EC6645">
        <w:rPr>
          <w:spacing w:val="-1"/>
        </w:rPr>
        <w:t>year</w:t>
      </w:r>
      <w:r w:rsidR="003A177C">
        <w:rPr>
          <w:spacing w:val="-1"/>
        </w:rPr>
        <w:t>-of-</w:t>
      </w:r>
      <w:r w:rsidR="00EC6645">
        <w:rPr>
          <w:spacing w:val="-1"/>
        </w:rPr>
        <w:t xml:space="preserve">life costs amounted to R744 036.24 </w:t>
      </w:r>
      <w:r w:rsidR="00EC6645">
        <w:rPr>
          <w:w w:val="104"/>
        </w:rPr>
        <w:t xml:space="preserve">and are observed to be at least 23.8 times higher for </w:t>
      </w:r>
      <w:r w:rsidR="00EC6645">
        <w:rPr>
          <w:spacing w:val="-1"/>
        </w:rPr>
        <w:t xml:space="preserve">decedents than for survivors during </w:t>
      </w:r>
      <w:r w:rsidR="008F5B50">
        <w:rPr>
          <w:spacing w:val="-1"/>
        </w:rPr>
        <w:t xml:space="preserve">the </w:t>
      </w:r>
      <w:r w:rsidR="00EC6645">
        <w:rPr>
          <w:spacing w:val="-1"/>
        </w:rPr>
        <w:t xml:space="preserve">study period. Finally, it is observed that it is </w:t>
      </w:r>
      <w:r w:rsidR="00EC6645">
        <w:rPr>
          <w:spacing w:val="-2"/>
        </w:rPr>
        <w:t xml:space="preserve">vital to constantly monitor the number of beneficiaries who have a RUB value of </w:t>
      </w:r>
      <w:r w:rsidR="00670D86">
        <w:rPr>
          <w:spacing w:val="-2"/>
        </w:rPr>
        <w:t>5</w:t>
      </w:r>
      <w:r w:rsidR="00EC6645">
        <w:rPr>
          <w:w w:val="104"/>
        </w:rPr>
        <w:t>. These benefici</w:t>
      </w:r>
      <w:r w:rsidR="00134148">
        <w:rPr>
          <w:w w:val="104"/>
        </w:rPr>
        <w:t>aries consume an average of R320 189.22</w:t>
      </w:r>
      <w:r w:rsidR="00EC6645">
        <w:rPr>
          <w:w w:val="104"/>
        </w:rPr>
        <w:t xml:space="preserve"> worth of medical </w:t>
      </w:r>
      <w:r w:rsidR="00EC6645">
        <w:rPr>
          <w:w w:val="102"/>
        </w:rPr>
        <w:t xml:space="preserve">resources in their last year of life. Upon comparison with the average survivor </w:t>
      </w:r>
      <w:r w:rsidR="00EC6645">
        <w:rPr>
          <w:spacing w:val="-3"/>
        </w:rPr>
        <w:t>costs in each year, it</w:t>
      </w:r>
      <w:r w:rsidR="009A50DB">
        <w:rPr>
          <w:spacing w:val="-3"/>
        </w:rPr>
        <w:t xml:space="preserve"> is calculated that value</w:t>
      </w:r>
      <w:r w:rsidR="009A50DB" w:rsidRPr="009A50DB">
        <w:rPr>
          <w:spacing w:val="-3"/>
        </w:rPr>
        <w:t>-5-</w:t>
      </w:r>
      <w:r w:rsidR="00EC6645">
        <w:rPr>
          <w:spacing w:val="-3"/>
        </w:rPr>
        <w:t xml:space="preserve">RUB beneficiaries consume at least 34.9 times more last year of life costs than the average survivor. </w:t>
      </w:r>
    </w:p>
    <w:p w:rsidR="00EC6645" w:rsidRPr="008F5B50" w:rsidRDefault="00625779" w:rsidP="00670D86">
      <w:pPr>
        <w:rPr>
          <w:caps/>
        </w:rPr>
      </w:pPr>
      <w:r>
        <w:rPr>
          <w:caps/>
        </w:rPr>
        <w:t>7</w:t>
      </w:r>
      <w:r w:rsidR="008F5B50">
        <w:rPr>
          <w:caps/>
        </w:rPr>
        <w:t>.3</w:t>
      </w:r>
      <w:r w:rsidR="00EC6645" w:rsidRPr="008F5B50">
        <w:rPr>
          <w:caps/>
        </w:rPr>
        <w:t xml:space="preserve"> </w:t>
      </w:r>
      <w:r w:rsidR="00EC6645" w:rsidRPr="008F5B50">
        <w:rPr>
          <w:caps/>
        </w:rPr>
        <w:tab/>
        <w:t xml:space="preserve">The Effectiveness of </w:t>
      </w:r>
      <w:r w:rsidR="003C14E0">
        <w:rPr>
          <w:caps/>
        </w:rPr>
        <w:t>DISEASE GROUPER SYSTEMS</w:t>
      </w:r>
      <w:r w:rsidR="00EC6645" w:rsidRPr="008F5B50">
        <w:rPr>
          <w:caps/>
        </w:rPr>
        <w:t xml:space="preserve"> </w:t>
      </w:r>
    </w:p>
    <w:p w:rsidR="00EC6645" w:rsidRDefault="00EC6645" w:rsidP="00AD0700">
      <w:pPr>
        <w:jc w:val="both"/>
      </w:pPr>
      <w:r>
        <w:rPr>
          <w:spacing w:val="-3"/>
        </w:rPr>
        <w:t xml:space="preserve">One of the most interesting findings of the investigation is the effectiveness of </w:t>
      </w:r>
      <w:r w:rsidR="003224BB">
        <w:rPr>
          <w:spacing w:val="-3"/>
        </w:rPr>
        <w:t xml:space="preserve">a disease grouper system (in this case </w:t>
      </w:r>
      <w:r>
        <w:rPr>
          <w:spacing w:val="-3"/>
        </w:rPr>
        <w:t>the ACG system</w:t>
      </w:r>
      <w:r w:rsidR="003224BB">
        <w:rPr>
          <w:spacing w:val="-3"/>
        </w:rPr>
        <w:t>)</w:t>
      </w:r>
      <w:r>
        <w:rPr>
          <w:spacing w:val="-3"/>
        </w:rPr>
        <w:t xml:space="preserve"> in revealing those beneficiaries whose treatment incurred the highest </w:t>
      </w:r>
      <w:bookmarkStart w:id="13" w:name="Pg25"/>
      <w:bookmarkEnd w:id="13"/>
      <w:r w:rsidR="00670D86">
        <w:t>a</w:t>
      </w:r>
      <w:r>
        <w:t xml:space="preserve">verage healthcare costs in their last year of life. The finding does not prove that </w:t>
      </w:r>
      <w:r>
        <w:rPr>
          <w:w w:val="103"/>
        </w:rPr>
        <w:t xml:space="preserve">the ACG system will always be successful in revealing beneficiaries with high </w:t>
      </w:r>
      <w:r>
        <w:rPr>
          <w:spacing w:val="-1"/>
        </w:rPr>
        <w:t xml:space="preserve">resource utilisation. Instead, the finding adds to the credibility of </w:t>
      </w:r>
      <w:r w:rsidR="003C14E0">
        <w:rPr>
          <w:spacing w:val="-1"/>
        </w:rPr>
        <w:t xml:space="preserve">disease grouper systems </w:t>
      </w:r>
      <w:r>
        <w:rPr>
          <w:w w:val="103"/>
        </w:rPr>
        <w:t xml:space="preserve">by providing a retrospective example of the </w:t>
      </w:r>
      <w:r w:rsidR="003C14E0">
        <w:rPr>
          <w:w w:val="103"/>
        </w:rPr>
        <w:t xml:space="preserve">ACG </w:t>
      </w:r>
      <w:r>
        <w:rPr>
          <w:w w:val="103"/>
        </w:rPr>
        <w:t xml:space="preserve">system successfully revealing high </w:t>
      </w:r>
      <w:r>
        <w:rPr>
          <w:w w:val="111"/>
        </w:rPr>
        <w:t xml:space="preserve">resource beneficiaries who are in their last year of life. </w:t>
      </w:r>
      <w:r w:rsidR="003C14E0">
        <w:rPr>
          <w:w w:val="111"/>
        </w:rPr>
        <w:t xml:space="preserve">Disease grouper systems, such as the </w:t>
      </w:r>
      <w:r>
        <w:rPr>
          <w:w w:val="111"/>
        </w:rPr>
        <w:t xml:space="preserve">ACG system, </w:t>
      </w:r>
      <w:r>
        <w:rPr>
          <w:w w:val="102"/>
        </w:rPr>
        <w:t xml:space="preserve">therefore, provide a potential method of monitoring the high risk beneficiaries </w:t>
      </w:r>
      <w:r>
        <w:t xml:space="preserve">mentioned above in the previous sub-section. </w:t>
      </w:r>
      <w:r w:rsidR="009A50DB">
        <w:t>From a risk management perspective it may make sense to combine high-risk member management initiatives with palliative care interventions.</w:t>
      </w:r>
    </w:p>
    <w:p w:rsidR="00BF53A1" w:rsidRPr="00BF53A1" w:rsidRDefault="00625779" w:rsidP="00670D86">
      <w:pPr>
        <w:rPr>
          <w:caps/>
        </w:rPr>
      </w:pPr>
      <w:r>
        <w:rPr>
          <w:caps/>
        </w:rPr>
        <w:lastRenderedPageBreak/>
        <w:t>7</w:t>
      </w:r>
      <w:r w:rsidR="00236BCF">
        <w:rPr>
          <w:caps/>
        </w:rPr>
        <w:t>.4</w:t>
      </w:r>
      <w:r w:rsidR="00BF53A1">
        <w:rPr>
          <w:caps/>
        </w:rPr>
        <w:t xml:space="preserve"> </w:t>
      </w:r>
      <w:r w:rsidR="00BF53A1">
        <w:rPr>
          <w:caps/>
        </w:rPr>
        <w:tab/>
      </w:r>
      <w:r w:rsidR="00BF53A1" w:rsidRPr="00BF53A1">
        <w:rPr>
          <w:caps/>
        </w:rPr>
        <w:t>Practical Applications of Research on the Healthcare Costs in the Last Year of Life</w:t>
      </w:r>
    </w:p>
    <w:p w:rsidR="00BF53A1" w:rsidRPr="00AD0700" w:rsidRDefault="00134148" w:rsidP="00AD0700">
      <w:pPr>
        <w:autoSpaceDE w:val="0"/>
        <w:autoSpaceDN w:val="0"/>
        <w:adjustRightInd w:val="0"/>
        <w:spacing w:after="0"/>
        <w:jc w:val="both"/>
        <w:rPr>
          <w:rFonts w:eastAsiaTheme="minorEastAsia"/>
          <w:color w:val="000000"/>
          <w:szCs w:val="24"/>
        </w:rPr>
      </w:pPr>
      <w:r>
        <w:rPr>
          <w:rFonts w:eastAsiaTheme="minorEastAsia"/>
          <w:color w:val="000000"/>
          <w:szCs w:val="24"/>
        </w:rPr>
        <w:t xml:space="preserve">The </w:t>
      </w:r>
      <w:r w:rsidR="00BF53A1" w:rsidRPr="00AD0700">
        <w:rPr>
          <w:rFonts w:eastAsiaTheme="minorEastAsia"/>
          <w:color w:val="000000"/>
          <w:szCs w:val="24"/>
        </w:rPr>
        <w:t>research reviewed</w:t>
      </w:r>
      <w:r>
        <w:rPr>
          <w:rFonts w:eastAsiaTheme="minorEastAsia"/>
          <w:color w:val="000000"/>
          <w:szCs w:val="24"/>
        </w:rPr>
        <w:t xml:space="preserve"> in Section 2</w:t>
      </w:r>
      <w:r w:rsidR="00BF53A1" w:rsidRPr="00AD0700">
        <w:rPr>
          <w:rFonts w:eastAsiaTheme="minorEastAsia"/>
          <w:color w:val="000000"/>
          <w:szCs w:val="24"/>
        </w:rPr>
        <w:t xml:space="preserve"> often concluded with a discussion on the practical implications of healthcare costs at the end of life. The most prevalent discussions related to implications concerning medical expe</w:t>
      </w:r>
      <w:r w:rsidR="00AD0700" w:rsidRPr="00AD0700">
        <w:rPr>
          <w:rFonts w:eastAsiaTheme="minorEastAsia"/>
          <w:color w:val="000000"/>
          <w:szCs w:val="24"/>
        </w:rPr>
        <w:t xml:space="preserve">nditure rationing. Aaron and </w:t>
      </w:r>
      <w:r w:rsidR="00BF53A1" w:rsidRPr="00AD0700">
        <w:rPr>
          <w:rFonts w:eastAsiaTheme="minorEastAsia"/>
          <w:color w:val="000000"/>
          <w:szCs w:val="24"/>
        </w:rPr>
        <w:t xml:space="preserve">Schwartz (1990) went into particular detail on the methods of rationing available. Their research highlighted the benefits of understanding healthcare costs at the end of life when attempting to implement the most effective form of rationing. </w:t>
      </w:r>
      <w:r>
        <w:rPr>
          <w:rFonts w:eastAsiaTheme="minorEastAsia"/>
          <w:color w:val="000000"/>
          <w:szCs w:val="24"/>
        </w:rPr>
        <w:t xml:space="preserve">The above discussion in Section 7.1 illustrates that the uses for rationing are limited in South Africa due to </w:t>
      </w:r>
      <w:proofErr w:type="gramStart"/>
      <w:r>
        <w:rPr>
          <w:rFonts w:eastAsiaTheme="minorEastAsia"/>
          <w:color w:val="000000"/>
          <w:szCs w:val="24"/>
        </w:rPr>
        <w:t>PMBs,</w:t>
      </w:r>
      <w:proofErr w:type="gramEnd"/>
      <w:r>
        <w:rPr>
          <w:rFonts w:eastAsiaTheme="minorEastAsia"/>
          <w:color w:val="000000"/>
          <w:szCs w:val="24"/>
        </w:rPr>
        <w:t xml:space="preserve"> however, this may not be the case in other healthcare environments.</w:t>
      </w:r>
    </w:p>
    <w:p w:rsidR="00AD0700" w:rsidRPr="00AD0700" w:rsidRDefault="00AD0700" w:rsidP="00AD0700">
      <w:pPr>
        <w:autoSpaceDE w:val="0"/>
        <w:autoSpaceDN w:val="0"/>
        <w:adjustRightInd w:val="0"/>
        <w:spacing w:after="0"/>
        <w:jc w:val="both"/>
        <w:rPr>
          <w:rFonts w:eastAsiaTheme="minorEastAsia"/>
          <w:color w:val="000000"/>
          <w:szCs w:val="24"/>
        </w:rPr>
      </w:pPr>
    </w:p>
    <w:p w:rsidR="00AD0700" w:rsidRPr="00AD0700" w:rsidRDefault="00BF53A1" w:rsidP="00AD0700">
      <w:pPr>
        <w:autoSpaceDE w:val="0"/>
        <w:autoSpaceDN w:val="0"/>
        <w:adjustRightInd w:val="0"/>
        <w:spacing w:after="0"/>
        <w:jc w:val="both"/>
        <w:rPr>
          <w:rFonts w:eastAsiaTheme="minorEastAsia"/>
          <w:color w:val="000000"/>
          <w:szCs w:val="24"/>
        </w:rPr>
      </w:pPr>
      <w:r w:rsidRPr="00AD0700">
        <w:rPr>
          <w:rFonts w:eastAsiaTheme="minorEastAsia"/>
          <w:color w:val="000000"/>
          <w:szCs w:val="24"/>
        </w:rPr>
        <w:t>The other dominant discussion involved using the data on costs in the last year of life to determine the distribution of the healthcare costs of survivors and decedents</w:t>
      </w:r>
      <w:r w:rsidR="00134148">
        <w:rPr>
          <w:rFonts w:eastAsiaTheme="minorEastAsia"/>
          <w:color w:val="000000"/>
          <w:szCs w:val="24"/>
        </w:rPr>
        <w:t xml:space="preserve"> </w:t>
      </w:r>
      <w:r w:rsidR="007A5833">
        <w:rPr>
          <w:rFonts w:eastAsiaTheme="minorEastAsia"/>
          <w:color w:val="000000"/>
          <w:szCs w:val="24"/>
        </w:rPr>
        <w:t>(Table 4)</w:t>
      </w:r>
      <w:r w:rsidRPr="00AD0700">
        <w:rPr>
          <w:rFonts w:eastAsiaTheme="minorEastAsia"/>
          <w:color w:val="000000"/>
          <w:szCs w:val="24"/>
        </w:rPr>
        <w:t xml:space="preserve">. </w:t>
      </w:r>
      <w:proofErr w:type="spellStart"/>
      <w:r w:rsidRPr="00AD0700">
        <w:rPr>
          <w:rFonts w:eastAsiaTheme="minorEastAsia"/>
          <w:color w:val="000000"/>
          <w:szCs w:val="24"/>
        </w:rPr>
        <w:t>Alemayehu</w:t>
      </w:r>
      <w:proofErr w:type="spellEnd"/>
      <w:r w:rsidRPr="00AD0700">
        <w:rPr>
          <w:rFonts w:eastAsiaTheme="minorEastAsia"/>
          <w:color w:val="000000"/>
          <w:szCs w:val="24"/>
        </w:rPr>
        <w:t xml:space="preserve"> and Warner (2004) made this the focus of their research. The understanding of such distributions is thought to aid </w:t>
      </w:r>
      <w:r w:rsidR="00236BCF">
        <w:rPr>
          <w:rFonts w:eastAsiaTheme="minorEastAsia"/>
          <w:color w:val="000000"/>
          <w:szCs w:val="24"/>
        </w:rPr>
        <w:t>in the pricing of health insurance</w:t>
      </w:r>
      <w:r w:rsidRPr="00AD0700">
        <w:rPr>
          <w:rFonts w:eastAsiaTheme="minorEastAsia"/>
          <w:color w:val="000000"/>
          <w:szCs w:val="24"/>
        </w:rPr>
        <w:t xml:space="preserve"> products. In addition, the comparison of the cost in the last year of life with age at death</w:t>
      </w:r>
      <w:r w:rsidR="007A5833">
        <w:rPr>
          <w:rFonts w:eastAsiaTheme="minorEastAsia"/>
          <w:color w:val="000000"/>
          <w:szCs w:val="24"/>
        </w:rPr>
        <w:t xml:space="preserve"> (Figure 4)</w:t>
      </w:r>
      <w:r w:rsidRPr="00AD0700">
        <w:rPr>
          <w:rFonts w:eastAsiaTheme="minorEastAsia"/>
          <w:color w:val="000000"/>
          <w:szCs w:val="24"/>
        </w:rPr>
        <w:t xml:space="preserve"> helps to identify the effects of an aging population on the consumption of healthcare benefits (</w:t>
      </w:r>
      <w:proofErr w:type="spellStart"/>
      <w:r w:rsidRPr="00AD0700">
        <w:rPr>
          <w:rFonts w:eastAsiaTheme="minorEastAsia"/>
          <w:color w:val="000000"/>
          <w:szCs w:val="24"/>
        </w:rPr>
        <w:t>Breyer</w:t>
      </w:r>
      <w:proofErr w:type="spellEnd"/>
      <w:r w:rsidRPr="00AD0700">
        <w:rPr>
          <w:rFonts w:eastAsiaTheme="minorEastAsia"/>
          <w:color w:val="000000"/>
          <w:szCs w:val="24"/>
        </w:rPr>
        <w:t xml:space="preserve"> and Felder 2006; </w:t>
      </w:r>
      <w:proofErr w:type="spellStart"/>
      <w:r w:rsidRPr="00AD0700">
        <w:rPr>
          <w:rFonts w:eastAsiaTheme="minorEastAsia"/>
          <w:color w:val="000000"/>
          <w:szCs w:val="24"/>
        </w:rPr>
        <w:t>Calfo</w:t>
      </w:r>
      <w:proofErr w:type="spellEnd"/>
      <w:r w:rsidRPr="00AD0700">
        <w:rPr>
          <w:rFonts w:eastAsiaTheme="minorEastAsia"/>
          <w:color w:val="000000"/>
          <w:szCs w:val="24"/>
        </w:rPr>
        <w:t xml:space="preserve"> et al. 2006; Emanuel and Emanuel 1994; Felder et al. 2000). </w:t>
      </w:r>
      <w:bookmarkStart w:id="14" w:name="_GoBack"/>
      <w:bookmarkEnd w:id="14"/>
    </w:p>
    <w:p w:rsidR="00AD0700" w:rsidRPr="00AD0700" w:rsidRDefault="00AD0700" w:rsidP="00AD0700">
      <w:pPr>
        <w:autoSpaceDE w:val="0"/>
        <w:autoSpaceDN w:val="0"/>
        <w:adjustRightInd w:val="0"/>
        <w:spacing w:after="0"/>
        <w:jc w:val="both"/>
        <w:rPr>
          <w:rFonts w:eastAsiaTheme="minorEastAsia"/>
          <w:color w:val="000000"/>
          <w:szCs w:val="24"/>
        </w:rPr>
      </w:pPr>
    </w:p>
    <w:p w:rsidR="00AD0700" w:rsidRDefault="00BF53A1" w:rsidP="00AD0700">
      <w:pPr>
        <w:autoSpaceDE w:val="0"/>
        <w:autoSpaceDN w:val="0"/>
        <w:adjustRightInd w:val="0"/>
        <w:spacing w:after="0"/>
        <w:jc w:val="both"/>
        <w:rPr>
          <w:rFonts w:eastAsiaTheme="minorEastAsia"/>
          <w:color w:val="000000"/>
          <w:szCs w:val="24"/>
        </w:rPr>
      </w:pPr>
      <w:r w:rsidRPr="00AD0700">
        <w:rPr>
          <w:rFonts w:eastAsiaTheme="minorEastAsia"/>
          <w:color w:val="000000"/>
          <w:szCs w:val="24"/>
        </w:rPr>
        <w:t xml:space="preserve">Much of the more recent body of research attempts to use the results obtained on healthcare costs in the last year of life to improve existing models projecting future healthcare costs (Polder et al 2006; </w:t>
      </w:r>
      <w:proofErr w:type="spellStart"/>
      <w:r w:rsidRPr="00AD0700">
        <w:rPr>
          <w:rFonts w:eastAsiaTheme="minorEastAsia"/>
          <w:color w:val="000000"/>
          <w:szCs w:val="24"/>
        </w:rPr>
        <w:t>Breyer</w:t>
      </w:r>
      <w:proofErr w:type="spellEnd"/>
      <w:r w:rsidRPr="00AD0700">
        <w:rPr>
          <w:rFonts w:eastAsiaTheme="minorEastAsia"/>
          <w:color w:val="000000"/>
          <w:szCs w:val="24"/>
        </w:rPr>
        <w:t xml:space="preserve"> and Felder 2006; </w:t>
      </w:r>
      <w:proofErr w:type="spellStart"/>
      <w:r w:rsidRPr="00AD0700">
        <w:rPr>
          <w:rFonts w:eastAsiaTheme="minorEastAsia"/>
          <w:color w:val="000000"/>
          <w:szCs w:val="24"/>
        </w:rPr>
        <w:t>Wickstrøm</w:t>
      </w:r>
      <w:proofErr w:type="spellEnd"/>
      <w:r w:rsidRPr="00AD0700">
        <w:rPr>
          <w:rFonts w:eastAsiaTheme="minorEastAsia"/>
          <w:color w:val="000000"/>
          <w:szCs w:val="24"/>
        </w:rPr>
        <w:t xml:space="preserve"> et al. 2002). </w:t>
      </w:r>
    </w:p>
    <w:p w:rsidR="007A5833" w:rsidRPr="00AD0700" w:rsidRDefault="007A5833" w:rsidP="00AD0700">
      <w:pPr>
        <w:autoSpaceDE w:val="0"/>
        <w:autoSpaceDN w:val="0"/>
        <w:adjustRightInd w:val="0"/>
        <w:spacing w:after="0"/>
        <w:jc w:val="both"/>
        <w:rPr>
          <w:rFonts w:eastAsiaTheme="minorEastAsia"/>
          <w:color w:val="000000"/>
          <w:szCs w:val="24"/>
        </w:rPr>
      </w:pPr>
    </w:p>
    <w:p w:rsidR="000A01D1" w:rsidRDefault="000A01D1" w:rsidP="00150FA7"/>
    <w:p w:rsidR="00623559" w:rsidRDefault="00623559" w:rsidP="00150FA7"/>
    <w:p w:rsidR="00623559" w:rsidRDefault="00623559" w:rsidP="00150FA7"/>
    <w:p w:rsidR="0028009C" w:rsidRDefault="0028009C" w:rsidP="00150FA7"/>
    <w:p w:rsidR="0028009C" w:rsidRDefault="0028009C" w:rsidP="00150FA7"/>
    <w:p w:rsidR="0028009C" w:rsidRDefault="0028009C" w:rsidP="00150FA7"/>
    <w:p w:rsidR="0028009C" w:rsidRDefault="0028009C" w:rsidP="00150FA7"/>
    <w:p w:rsidR="0028009C" w:rsidRDefault="0028009C" w:rsidP="00150FA7"/>
    <w:p w:rsidR="0028009C" w:rsidRDefault="0028009C" w:rsidP="00150FA7"/>
    <w:p w:rsidR="0028009C" w:rsidRDefault="0028009C" w:rsidP="00150FA7"/>
    <w:p w:rsidR="0028009C" w:rsidRDefault="0028009C" w:rsidP="00150FA7"/>
    <w:p w:rsidR="0028009C" w:rsidRDefault="0028009C" w:rsidP="00150FA7"/>
    <w:p w:rsidR="0028009C" w:rsidRDefault="0028009C" w:rsidP="00150FA7"/>
    <w:p w:rsidR="0028009C" w:rsidRDefault="0028009C" w:rsidP="00150FA7"/>
    <w:p w:rsidR="007A5833" w:rsidRPr="001E77DC" w:rsidRDefault="007A5833" w:rsidP="00150FA7"/>
    <w:p w:rsidR="00CA5018" w:rsidRPr="008F5B50" w:rsidRDefault="0043476C" w:rsidP="00150FA7">
      <w:pPr>
        <w:rPr>
          <w:caps/>
        </w:rPr>
      </w:pPr>
      <w:r w:rsidRPr="008F5B50">
        <w:rPr>
          <w:caps/>
        </w:rPr>
        <w:lastRenderedPageBreak/>
        <w:t>References</w:t>
      </w:r>
    </w:p>
    <w:p w:rsidR="00423904" w:rsidRPr="00423904" w:rsidRDefault="009040E7" w:rsidP="00423904">
      <w:pPr>
        <w:spacing w:after="0"/>
        <w:ind w:left="720" w:hanging="720"/>
        <w:rPr>
          <w:noProof/>
          <w:sz w:val="22"/>
        </w:rPr>
      </w:pPr>
      <w:r w:rsidRPr="001E77DC">
        <w:fldChar w:fldCharType="begin"/>
      </w:r>
      <w:r w:rsidR="00E637A4" w:rsidRPr="001E77DC">
        <w:instrText xml:space="preserve"> ADDIN EN.REFLIST </w:instrText>
      </w:r>
      <w:r w:rsidRPr="001E77DC">
        <w:fldChar w:fldCharType="separate"/>
      </w:r>
      <w:bookmarkStart w:id="15" w:name="_ENREF_1"/>
      <w:r w:rsidR="00423904" w:rsidRPr="00423904">
        <w:rPr>
          <w:noProof/>
          <w:sz w:val="22"/>
        </w:rPr>
        <w:t xml:space="preserve">Alemayehu, B &amp; Warner, K. (2004). The lifetime distribution of health care costs. </w:t>
      </w:r>
      <w:r w:rsidR="00423904" w:rsidRPr="00423904">
        <w:rPr>
          <w:i/>
          <w:noProof/>
          <w:sz w:val="22"/>
        </w:rPr>
        <w:t>Health Services Research,</w:t>
      </w:r>
      <w:r w:rsidR="00423904" w:rsidRPr="00423904">
        <w:rPr>
          <w:b/>
          <w:i/>
          <w:noProof/>
          <w:sz w:val="22"/>
        </w:rPr>
        <w:t xml:space="preserve"> 39</w:t>
      </w:r>
      <w:r w:rsidR="00423904" w:rsidRPr="00423904">
        <w:rPr>
          <w:noProof/>
          <w:sz w:val="22"/>
        </w:rPr>
        <w:t xml:space="preserve">(3), 627-642. </w:t>
      </w:r>
      <w:bookmarkEnd w:id="15"/>
    </w:p>
    <w:p w:rsidR="00423904" w:rsidRPr="00423904" w:rsidRDefault="00423904" w:rsidP="00423904">
      <w:pPr>
        <w:spacing w:after="0"/>
        <w:ind w:left="720" w:hanging="720"/>
        <w:rPr>
          <w:noProof/>
          <w:sz w:val="22"/>
        </w:rPr>
      </w:pPr>
      <w:bookmarkStart w:id="16" w:name="_ENREF_2"/>
      <w:r w:rsidRPr="00423904">
        <w:rPr>
          <w:noProof/>
          <w:sz w:val="22"/>
        </w:rPr>
        <w:t xml:space="preserve">Breyer, F &amp; Felder, S. (2006). Life Expectancy and health care expenditures: A new calculation for Germany using the costs of dying. </w:t>
      </w:r>
      <w:r w:rsidRPr="00423904">
        <w:rPr>
          <w:i/>
          <w:noProof/>
          <w:sz w:val="22"/>
        </w:rPr>
        <w:t xml:space="preserve">Health Policy </w:t>
      </w:r>
      <w:r w:rsidRPr="00423904">
        <w:rPr>
          <w:b/>
          <w:i/>
          <w:noProof/>
          <w:sz w:val="22"/>
        </w:rPr>
        <w:t>75</w:t>
      </w:r>
      <w:r w:rsidRPr="00423904">
        <w:rPr>
          <w:noProof/>
          <w:sz w:val="22"/>
        </w:rPr>
        <w:t xml:space="preserve">(2), 178-186. </w:t>
      </w:r>
      <w:bookmarkEnd w:id="16"/>
    </w:p>
    <w:p w:rsidR="00423904" w:rsidRPr="00423904" w:rsidRDefault="00423904" w:rsidP="00423904">
      <w:pPr>
        <w:spacing w:after="0"/>
        <w:ind w:left="720" w:hanging="720"/>
        <w:rPr>
          <w:noProof/>
          <w:sz w:val="22"/>
        </w:rPr>
      </w:pPr>
      <w:bookmarkStart w:id="17" w:name="_ENREF_3"/>
      <w:r w:rsidRPr="00423904">
        <w:rPr>
          <w:noProof/>
          <w:sz w:val="22"/>
        </w:rPr>
        <w:t xml:space="preserve">Calfo, S, Smith, J &amp; Zezza, M. (2008). Last year of life study  Retrieved 30 April, 2012, from </w:t>
      </w:r>
      <w:hyperlink r:id="rId15" w:history="1">
        <w:r w:rsidRPr="00423904">
          <w:rPr>
            <w:rStyle w:val="Hyperlink"/>
            <w:noProof/>
            <w:sz w:val="22"/>
          </w:rPr>
          <w:t>http://www.cms.hhs.gov/ActuarialStudies/downloads/Last_Year_of_Life.pdf</w:t>
        </w:r>
        <w:bookmarkEnd w:id="17"/>
      </w:hyperlink>
    </w:p>
    <w:p w:rsidR="00423904" w:rsidRPr="00423904" w:rsidRDefault="00423904" w:rsidP="00423904">
      <w:pPr>
        <w:spacing w:after="0"/>
        <w:ind w:left="720" w:hanging="720"/>
        <w:rPr>
          <w:noProof/>
          <w:sz w:val="22"/>
        </w:rPr>
      </w:pPr>
      <w:bookmarkStart w:id="18" w:name="_ENREF_4"/>
      <w:r w:rsidRPr="00423904">
        <w:rPr>
          <w:noProof/>
          <w:sz w:val="22"/>
        </w:rPr>
        <w:t>Council for Medical Scheme. (2010). Methodology to determine the REF weighting table and REF count table for 2010. Pretoria.</w:t>
      </w:r>
      <w:bookmarkEnd w:id="18"/>
    </w:p>
    <w:p w:rsidR="00423904" w:rsidRPr="00423904" w:rsidRDefault="00423904" w:rsidP="00423904">
      <w:pPr>
        <w:spacing w:after="0"/>
        <w:ind w:left="720" w:hanging="720"/>
        <w:rPr>
          <w:noProof/>
          <w:sz w:val="22"/>
        </w:rPr>
      </w:pPr>
      <w:bookmarkStart w:id="19" w:name="_ENREF_5"/>
      <w:r w:rsidRPr="00423904">
        <w:rPr>
          <w:noProof/>
          <w:sz w:val="22"/>
        </w:rPr>
        <w:t>Council for Medical Scheme. (2011). Annual Report 2010-2011. Pretoria: Council for Medical Schemes.</w:t>
      </w:r>
      <w:bookmarkEnd w:id="19"/>
    </w:p>
    <w:p w:rsidR="00423904" w:rsidRPr="00423904" w:rsidRDefault="00423904" w:rsidP="00423904">
      <w:pPr>
        <w:spacing w:after="0"/>
        <w:ind w:left="720" w:hanging="720"/>
        <w:rPr>
          <w:noProof/>
          <w:sz w:val="22"/>
        </w:rPr>
      </w:pPr>
      <w:bookmarkStart w:id="20" w:name="_ENREF_6"/>
      <w:r w:rsidRPr="00423904">
        <w:rPr>
          <w:noProof/>
          <w:sz w:val="22"/>
        </w:rPr>
        <w:t xml:space="preserve">Department of Health. (2010). </w:t>
      </w:r>
      <w:r w:rsidRPr="00423904">
        <w:rPr>
          <w:i/>
          <w:noProof/>
          <w:sz w:val="22"/>
        </w:rPr>
        <w:t>Draft policy framework for price determination in the private health system</w:t>
      </w:r>
      <w:r w:rsidRPr="00423904">
        <w:rPr>
          <w:noProof/>
          <w:sz w:val="22"/>
        </w:rPr>
        <w:t>.  Pretoria: Council for Medical Schemes and Department of Health.</w:t>
      </w:r>
      <w:bookmarkEnd w:id="20"/>
    </w:p>
    <w:p w:rsidR="00423904" w:rsidRPr="00423904" w:rsidRDefault="00423904" w:rsidP="00423904">
      <w:pPr>
        <w:spacing w:after="0"/>
        <w:ind w:left="720" w:hanging="720"/>
        <w:rPr>
          <w:noProof/>
          <w:sz w:val="22"/>
        </w:rPr>
      </w:pPr>
      <w:bookmarkStart w:id="21" w:name="_ENREF_7"/>
      <w:r w:rsidRPr="00423904">
        <w:rPr>
          <w:noProof/>
          <w:sz w:val="22"/>
        </w:rPr>
        <w:t xml:space="preserve">Doherty, J &amp; McLeod, H. (2002). Medical Schemes </w:t>
      </w:r>
      <w:r w:rsidRPr="00423904">
        <w:rPr>
          <w:i/>
          <w:noProof/>
          <w:sz w:val="22"/>
        </w:rPr>
        <w:t>South African Health Review 2002</w:t>
      </w:r>
      <w:r w:rsidRPr="00423904">
        <w:rPr>
          <w:noProof/>
          <w:sz w:val="22"/>
        </w:rPr>
        <w:t xml:space="preserve"> (pp. 41-66).</w:t>
      </w:r>
      <w:bookmarkEnd w:id="21"/>
    </w:p>
    <w:p w:rsidR="00423904" w:rsidRPr="00423904" w:rsidRDefault="00423904" w:rsidP="00423904">
      <w:pPr>
        <w:spacing w:after="0"/>
        <w:ind w:left="720" w:hanging="720"/>
        <w:rPr>
          <w:noProof/>
          <w:sz w:val="22"/>
        </w:rPr>
      </w:pPr>
      <w:bookmarkStart w:id="22" w:name="_ENREF_8"/>
      <w:r w:rsidRPr="00423904">
        <w:rPr>
          <w:noProof/>
          <w:sz w:val="22"/>
        </w:rPr>
        <w:t xml:space="preserve">Hogan, C, Lunney, J, Gabel, J &amp; Lynn, J. (2001). Medicare beneficiaries' costs of care in the last year of life. </w:t>
      </w:r>
      <w:r w:rsidRPr="00423904">
        <w:rPr>
          <w:i/>
          <w:noProof/>
          <w:sz w:val="22"/>
        </w:rPr>
        <w:t>Health Affairs,</w:t>
      </w:r>
      <w:r w:rsidRPr="00423904">
        <w:rPr>
          <w:b/>
          <w:i/>
          <w:noProof/>
          <w:sz w:val="22"/>
        </w:rPr>
        <w:t xml:space="preserve"> 20</w:t>
      </w:r>
      <w:r w:rsidRPr="00423904">
        <w:rPr>
          <w:noProof/>
          <w:sz w:val="22"/>
        </w:rPr>
        <w:t xml:space="preserve">(4), 188-195. </w:t>
      </w:r>
      <w:bookmarkEnd w:id="22"/>
    </w:p>
    <w:p w:rsidR="00423904" w:rsidRPr="00423904" w:rsidRDefault="00423904" w:rsidP="00423904">
      <w:pPr>
        <w:spacing w:after="0"/>
        <w:ind w:left="720" w:hanging="720"/>
        <w:rPr>
          <w:noProof/>
          <w:sz w:val="22"/>
        </w:rPr>
      </w:pPr>
      <w:bookmarkStart w:id="23" w:name="_ENREF_9"/>
      <w:r w:rsidRPr="00423904">
        <w:rPr>
          <w:noProof/>
          <w:sz w:val="22"/>
        </w:rPr>
        <w:t xml:space="preserve">Hoover, DR, Crytal, S, Kumar, R, Sambamoorthi, U &amp; Cantor, JC. (2002). Medical Expenditures in the Last Year of Life: Findings from the 1992-1996 Medical Current Beneficiary Survey. </w:t>
      </w:r>
      <w:r w:rsidRPr="00423904">
        <w:rPr>
          <w:i/>
          <w:noProof/>
          <w:sz w:val="22"/>
        </w:rPr>
        <w:t>Health Services Research,</w:t>
      </w:r>
      <w:r w:rsidRPr="00423904">
        <w:rPr>
          <w:b/>
          <w:i/>
          <w:noProof/>
          <w:sz w:val="22"/>
        </w:rPr>
        <w:t xml:space="preserve"> 37</w:t>
      </w:r>
      <w:r w:rsidRPr="00423904">
        <w:rPr>
          <w:noProof/>
          <w:sz w:val="22"/>
        </w:rPr>
        <w:t xml:space="preserve">(6), 1625-1642. </w:t>
      </w:r>
      <w:bookmarkEnd w:id="23"/>
    </w:p>
    <w:p w:rsidR="00423904" w:rsidRPr="00423904" w:rsidRDefault="00423904" w:rsidP="00423904">
      <w:pPr>
        <w:spacing w:after="0"/>
        <w:ind w:left="720" w:hanging="720"/>
        <w:rPr>
          <w:noProof/>
          <w:sz w:val="22"/>
        </w:rPr>
      </w:pPr>
      <w:bookmarkStart w:id="24" w:name="_ENREF_10"/>
      <w:r w:rsidRPr="00423904">
        <w:rPr>
          <w:noProof/>
          <w:sz w:val="22"/>
        </w:rPr>
        <w:t xml:space="preserve">Johns Hopkins Bloomberg School of Public Health. (2009). The Johns Hopkins ACG System Technical Reference Guide Version 9.0  Retrieved 31 August, 2011, from </w:t>
      </w:r>
      <w:hyperlink r:id="rId16" w:history="1">
        <w:r w:rsidRPr="00423904">
          <w:rPr>
            <w:rStyle w:val="Hyperlink"/>
            <w:noProof/>
            <w:sz w:val="22"/>
          </w:rPr>
          <w:t>http://www.healthpartners.com/ucm/groups/public/@hp/@public/documents/documents/dev_057914.pdf</w:t>
        </w:r>
        <w:bookmarkEnd w:id="24"/>
      </w:hyperlink>
    </w:p>
    <w:p w:rsidR="00423904" w:rsidRPr="00423904" w:rsidRDefault="00423904" w:rsidP="00423904">
      <w:pPr>
        <w:spacing w:after="0"/>
        <w:ind w:left="720" w:hanging="720"/>
        <w:rPr>
          <w:noProof/>
          <w:sz w:val="22"/>
        </w:rPr>
      </w:pPr>
      <w:bookmarkStart w:id="25" w:name="_ENREF_11"/>
      <w:r w:rsidRPr="00423904">
        <w:rPr>
          <w:noProof/>
          <w:sz w:val="22"/>
        </w:rPr>
        <w:t xml:space="preserve">Levinsky, NG, Yu, W, Ash, A, Moskowitz, M, Gazelle, G, Saynina, O &amp; Emanuel, EJ. (2001). Influence of age on Medicare expenditures and medical care in the last year of life. </w:t>
      </w:r>
      <w:r w:rsidRPr="00423904">
        <w:rPr>
          <w:i/>
          <w:noProof/>
          <w:sz w:val="22"/>
        </w:rPr>
        <w:t>Journal of the American Medical Association,</w:t>
      </w:r>
      <w:r w:rsidRPr="00423904">
        <w:rPr>
          <w:b/>
          <w:i/>
          <w:noProof/>
          <w:sz w:val="22"/>
        </w:rPr>
        <w:t xml:space="preserve"> 286</w:t>
      </w:r>
      <w:r w:rsidRPr="00423904">
        <w:rPr>
          <w:noProof/>
          <w:sz w:val="22"/>
        </w:rPr>
        <w:t xml:space="preserve">(11), 1349-1355. </w:t>
      </w:r>
      <w:bookmarkEnd w:id="25"/>
    </w:p>
    <w:p w:rsidR="00423904" w:rsidRPr="00423904" w:rsidRDefault="00423904" w:rsidP="00423904">
      <w:pPr>
        <w:spacing w:after="0"/>
        <w:ind w:left="720" w:hanging="720"/>
        <w:rPr>
          <w:noProof/>
          <w:sz w:val="22"/>
        </w:rPr>
      </w:pPr>
      <w:bookmarkStart w:id="26" w:name="_ENREF_12"/>
      <w:r w:rsidRPr="00423904">
        <w:rPr>
          <w:noProof/>
          <w:sz w:val="22"/>
        </w:rPr>
        <w:t xml:space="preserve">Lubitz, J &amp; Riley, G. (1993). Trends in Medicare payments in the last year of life. </w:t>
      </w:r>
      <w:r w:rsidRPr="00423904">
        <w:rPr>
          <w:i/>
          <w:noProof/>
          <w:sz w:val="22"/>
        </w:rPr>
        <w:t>The New England Journal of Medicine,</w:t>
      </w:r>
      <w:r w:rsidRPr="00423904">
        <w:rPr>
          <w:b/>
          <w:i/>
          <w:noProof/>
          <w:sz w:val="22"/>
        </w:rPr>
        <w:t xml:space="preserve"> 328</w:t>
      </w:r>
      <w:r w:rsidRPr="00423904">
        <w:rPr>
          <w:noProof/>
          <w:sz w:val="22"/>
        </w:rPr>
        <w:t xml:space="preserve">, 1092-1096. </w:t>
      </w:r>
      <w:bookmarkEnd w:id="26"/>
    </w:p>
    <w:p w:rsidR="00423904" w:rsidRPr="00423904" w:rsidRDefault="00423904" w:rsidP="00423904">
      <w:pPr>
        <w:spacing w:after="0"/>
        <w:ind w:left="720" w:hanging="720"/>
        <w:rPr>
          <w:noProof/>
          <w:sz w:val="22"/>
        </w:rPr>
      </w:pPr>
      <w:bookmarkStart w:id="27" w:name="_ENREF_13"/>
      <w:r w:rsidRPr="00423904">
        <w:rPr>
          <w:noProof/>
          <w:sz w:val="22"/>
        </w:rPr>
        <w:t xml:space="preserve">Lubitz, J &amp; Riley, G. (2010). Long-term trends in Medicare payments in the last year of life. </w:t>
      </w:r>
      <w:r w:rsidRPr="00423904">
        <w:rPr>
          <w:i/>
          <w:noProof/>
          <w:sz w:val="22"/>
        </w:rPr>
        <w:t>Health Services Research,</w:t>
      </w:r>
      <w:r w:rsidRPr="00423904">
        <w:rPr>
          <w:b/>
          <w:i/>
          <w:noProof/>
          <w:sz w:val="22"/>
        </w:rPr>
        <w:t xml:space="preserve"> 42</w:t>
      </w:r>
      <w:r w:rsidRPr="00423904">
        <w:rPr>
          <w:noProof/>
          <w:sz w:val="22"/>
        </w:rPr>
        <w:t xml:space="preserve">(2), 565-576. </w:t>
      </w:r>
      <w:bookmarkEnd w:id="27"/>
    </w:p>
    <w:p w:rsidR="00423904" w:rsidRPr="00423904" w:rsidRDefault="00423904" w:rsidP="00423904">
      <w:pPr>
        <w:spacing w:after="0"/>
        <w:ind w:left="720" w:hanging="720"/>
        <w:rPr>
          <w:noProof/>
          <w:sz w:val="22"/>
        </w:rPr>
      </w:pPr>
      <w:bookmarkStart w:id="28" w:name="_ENREF_14"/>
      <w:r w:rsidRPr="00423904">
        <w:rPr>
          <w:noProof/>
          <w:sz w:val="22"/>
        </w:rPr>
        <w:t xml:space="preserve">McCall, N. (1984). Utilization and costs of Medicare services by beneficiaries in their last year of life. </w:t>
      </w:r>
      <w:r w:rsidRPr="00423904">
        <w:rPr>
          <w:i/>
          <w:noProof/>
          <w:sz w:val="22"/>
        </w:rPr>
        <w:t>Medical Care,</w:t>
      </w:r>
      <w:r w:rsidRPr="00423904">
        <w:rPr>
          <w:b/>
          <w:i/>
          <w:noProof/>
          <w:sz w:val="22"/>
        </w:rPr>
        <w:t xml:space="preserve"> 22</w:t>
      </w:r>
      <w:r w:rsidRPr="00423904">
        <w:rPr>
          <w:noProof/>
          <w:sz w:val="22"/>
        </w:rPr>
        <w:t xml:space="preserve">(4), 329-342. </w:t>
      </w:r>
      <w:bookmarkEnd w:id="28"/>
    </w:p>
    <w:p w:rsidR="00423904" w:rsidRPr="00423904" w:rsidRDefault="00423904" w:rsidP="00423904">
      <w:pPr>
        <w:spacing w:after="0"/>
        <w:ind w:left="720" w:hanging="720"/>
        <w:rPr>
          <w:noProof/>
          <w:sz w:val="22"/>
        </w:rPr>
      </w:pPr>
      <w:bookmarkStart w:id="29" w:name="_ENREF_15"/>
      <w:r w:rsidRPr="00423904">
        <w:rPr>
          <w:noProof/>
          <w:sz w:val="22"/>
        </w:rPr>
        <w:t xml:space="preserve">Medscheme. (2012). About Medscheme  Retrieved August 8, 2012, from </w:t>
      </w:r>
      <w:hyperlink r:id="rId17" w:history="1">
        <w:r w:rsidRPr="00423904">
          <w:rPr>
            <w:rStyle w:val="Hyperlink"/>
            <w:noProof/>
            <w:sz w:val="22"/>
          </w:rPr>
          <w:t>http://www.medscheme.com/about-us</w:t>
        </w:r>
      </w:hyperlink>
      <w:r w:rsidRPr="00423904">
        <w:rPr>
          <w:noProof/>
          <w:sz w:val="22"/>
        </w:rPr>
        <w:t xml:space="preserve"> </w:t>
      </w:r>
      <w:bookmarkEnd w:id="29"/>
    </w:p>
    <w:p w:rsidR="00423904" w:rsidRPr="00423904" w:rsidRDefault="00423904" w:rsidP="00423904">
      <w:pPr>
        <w:spacing w:after="0"/>
        <w:ind w:left="720" w:hanging="720"/>
        <w:rPr>
          <w:noProof/>
          <w:sz w:val="22"/>
        </w:rPr>
      </w:pPr>
      <w:bookmarkStart w:id="30" w:name="_ENREF_16"/>
      <w:r w:rsidRPr="00423904">
        <w:rPr>
          <w:noProof/>
          <w:sz w:val="22"/>
        </w:rPr>
        <w:t xml:space="preserve">Moodley, P &amp; McLeod, H. (2001). An Investigation into Healthcare Costs in the Last-Year-of-Life </w:t>
      </w:r>
      <w:r w:rsidRPr="00423904">
        <w:rPr>
          <w:i/>
          <w:noProof/>
          <w:sz w:val="22"/>
        </w:rPr>
        <w:t>CARe Research Monographs</w:t>
      </w:r>
      <w:r w:rsidRPr="00423904">
        <w:rPr>
          <w:noProof/>
          <w:sz w:val="22"/>
        </w:rPr>
        <w:t>. Cape Town: Centre for Actuarial Research.</w:t>
      </w:r>
      <w:bookmarkEnd w:id="30"/>
    </w:p>
    <w:p w:rsidR="00423904" w:rsidRPr="00423904" w:rsidRDefault="00423904" w:rsidP="00423904">
      <w:pPr>
        <w:spacing w:after="0"/>
        <w:ind w:left="720" w:hanging="720"/>
        <w:rPr>
          <w:noProof/>
          <w:sz w:val="22"/>
        </w:rPr>
      </w:pPr>
      <w:bookmarkStart w:id="31" w:name="_ENREF_17"/>
      <w:r w:rsidRPr="00423904">
        <w:rPr>
          <w:noProof/>
          <w:sz w:val="22"/>
        </w:rPr>
        <w:t xml:space="preserve">Roos, N, Montgomery, P &amp; Roos, L. (1987). Health care utilization in the years prior to death. </w:t>
      </w:r>
      <w:r w:rsidRPr="00423904">
        <w:rPr>
          <w:i/>
          <w:noProof/>
          <w:sz w:val="22"/>
        </w:rPr>
        <w:t>The Milbank Quarterly,</w:t>
      </w:r>
      <w:r w:rsidRPr="00423904">
        <w:rPr>
          <w:b/>
          <w:i/>
          <w:noProof/>
          <w:sz w:val="22"/>
        </w:rPr>
        <w:t xml:space="preserve"> 65</w:t>
      </w:r>
      <w:r w:rsidRPr="00423904">
        <w:rPr>
          <w:noProof/>
          <w:sz w:val="22"/>
        </w:rPr>
        <w:t xml:space="preserve">(2), 231-254. </w:t>
      </w:r>
      <w:bookmarkEnd w:id="31"/>
    </w:p>
    <w:p w:rsidR="00423904" w:rsidRPr="00423904" w:rsidRDefault="00423904" w:rsidP="00423904">
      <w:pPr>
        <w:spacing w:after="0"/>
        <w:ind w:left="720" w:hanging="720"/>
        <w:rPr>
          <w:noProof/>
          <w:sz w:val="22"/>
        </w:rPr>
      </w:pPr>
      <w:bookmarkStart w:id="32" w:name="_ENREF_18"/>
      <w:r w:rsidRPr="00423904">
        <w:rPr>
          <w:noProof/>
          <w:sz w:val="22"/>
        </w:rPr>
        <w:t xml:space="preserve">Scitovsky, AA. (1994). “The High Cost of Dying” Revisited. </w:t>
      </w:r>
      <w:r w:rsidRPr="00423904">
        <w:rPr>
          <w:i/>
          <w:noProof/>
          <w:sz w:val="22"/>
        </w:rPr>
        <w:t xml:space="preserve">The Millbank Quarterly </w:t>
      </w:r>
      <w:r w:rsidRPr="00423904">
        <w:rPr>
          <w:b/>
          <w:i/>
          <w:noProof/>
          <w:sz w:val="22"/>
        </w:rPr>
        <w:t>72</w:t>
      </w:r>
      <w:r w:rsidRPr="00423904">
        <w:rPr>
          <w:noProof/>
          <w:sz w:val="22"/>
        </w:rPr>
        <w:t xml:space="preserve">(4), 561-591. </w:t>
      </w:r>
      <w:bookmarkEnd w:id="32"/>
    </w:p>
    <w:p w:rsidR="00423904" w:rsidRPr="00423904" w:rsidRDefault="00423904" w:rsidP="00423904">
      <w:pPr>
        <w:spacing w:after="0"/>
        <w:ind w:left="720" w:hanging="720"/>
        <w:rPr>
          <w:noProof/>
          <w:sz w:val="22"/>
        </w:rPr>
      </w:pPr>
      <w:bookmarkStart w:id="33" w:name="_ENREF_19"/>
      <w:r w:rsidRPr="00423904">
        <w:rPr>
          <w:noProof/>
          <w:sz w:val="22"/>
        </w:rPr>
        <w:t xml:space="preserve">Scitovsky, AA. (2005). The high cost of dying: What do the data show? . </w:t>
      </w:r>
      <w:r w:rsidRPr="00423904">
        <w:rPr>
          <w:i/>
          <w:noProof/>
          <w:sz w:val="22"/>
        </w:rPr>
        <w:t xml:space="preserve">Milbank Quarterly </w:t>
      </w:r>
      <w:r w:rsidRPr="00423904">
        <w:rPr>
          <w:b/>
          <w:i/>
          <w:noProof/>
          <w:sz w:val="22"/>
        </w:rPr>
        <w:t xml:space="preserve">83 </w:t>
      </w:r>
      <w:r w:rsidRPr="00423904">
        <w:rPr>
          <w:noProof/>
          <w:sz w:val="22"/>
        </w:rPr>
        <w:t xml:space="preserve">(4 ), 825-841. </w:t>
      </w:r>
      <w:bookmarkEnd w:id="33"/>
    </w:p>
    <w:p w:rsidR="00423904" w:rsidRPr="00423904" w:rsidRDefault="00423904" w:rsidP="00423904">
      <w:pPr>
        <w:spacing w:after="0"/>
        <w:ind w:left="720" w:hanging="720"/>
        <w:rPr>
          <w:noProof/>
          <w:sz w:val="22"/>
        </w:rPr>
      </w:pPr>
      <w:bookmarkStart w:id="34" w:name="_ENREF_20"/>
      <w:r w:rsidRPr="00423904">
        <w:rPr>
          <w:noProof/>
          <w:sz w:val="22"/>
        </w:rPr>
        <w:t xml:space="preserve">Stearns, SC &amp; Norton, EC. (2004). Time to include time to death? The future of health care expenditure predictions. </w:t>
      </w:r>
      <w:r w:rsidRPr="00423904">
        <w:rPr>
          <w:i/>
          <w:noProof/>
          <w:sz w:val="22"/>
        </w:rPr>
        <w:t xml:space="preserve">Health Economics </w:t>
      </w:r>
      <w:r w:rsidRPr="00423904">
        <w:rPr>
          <w:b/>
          <w:i/>
          <w:noProof/>
          <w:sz w:val="22"/>
        </w:rPr>
        <w:t>13</w:t>
      </w:r>
      <w:r w:rsidRPr="00423904">
        <w:rPr>
          <w:noProof/>
          <w:sz w:val="22"/>
        </w:rPr>
        <w:t xml:space="preserve">(4), 315-327. </w:t>
      </w:r>
      <w:bookmarkEnd w:id="34"/>
    </w:p>
    <w:p w:rsidR="00423904" w:rsidRPr="00423904" w:rsidRDefault="00423904" w:rsidP="00423904">
      <w:pPr>
        <w:spacing w:after="0"/>
        <w:ind w:left="720" w:hanging="720"/>
        <w:rPr>
          <w:noProof/>
          <w:sz w:val="22"/>
        </w:rPr>
      </w:pPr>
      <w:bookmarkStart w:id="35" w:name="_ENREF_21"/>
      <w:r w:rsidRPr="00423904">
        <w:rPr>
          <w:noProof/>
          <w:sz w:val="22"/>
        </w:rPr>
        <w:t>The Johns Hopkins University Bloomberg School of Public Health. (2009). The Johns Hopkins ACG System Excerpt from Technical Reference Guide: Health Services Research &amp; Development Center,.</w:t>
      </w:r>
      <w:bookmarkEnd w:id="35"/>
    </w:p>
    <w:p w:rsidR="00423904" w:rsidRPr="00423904" w:rsidRDefault="00423904" w:rsidP="00423904">
      <w:pPr>
        <w:spacing w:after="0"/>
        <w:ind w:left="720" w:hanging="720"/>
        <w:rPr>
          <w:noProof/>
          <w:sz w:val="22"/>
        </w:rPr>
      </w:pPr>
      <w:bookmarkStart w:id="36" w:name="_ENREF_22"/>
      <w:r w:rsidRPr="00423904">
        <w:rPr>
          <w:noProof/>
          <w:sz w:val="22"/>
        </w:rPr>
        <w:t xml:space="preserve">Timmer, EJ &amp; Kovar, MG. (1971). </w:t>
      </w:r>
      <w:r w:rsidRPr="00423904">
        <w:rPr>
          <w:i/>
          <w:noProof/>
          <w:sz w:val="22"/>
        </w:rPr>
        <w:t xml:space="preserve">Expenses for Hospital and Institutional Care during the Last Year of Life for Adults Who Died in 1964 or 1965. </w:t>
      </w:r>
      <w:r w:rsidRPr="00423904">
        <w:rPr>
          <w:noProof/>
          <w:sz w:val="22"/>
        </w:rPr>
        <w:t>.  Hyattsville, Md. U.S.A.</w:t>
      </w:r>
      <w:bookmarkEnd w:id="36"/>
    </w:p>
    <w:p w:rsidR="00423904" w:rsidRPr="00423904" w:rsidRDefault="00423904" w:rsidP="00423904">
      <w:pPr>
        <w:ind w:left="720" w:hanging="720"/>
        <w:rPr>
          <w:noProof/>
          <w:sz w:val="22"/>
        </w:rPr>
      </w:pPr>
      <w:bookmarkStart w:id="37" w:name="_ENREF_23"/>
      <w:r w:rsidRPr="00423904">
        <w:rPr>
          <w:noProof/>
          <w:sz w:val="22"/>
        </w:rPr>
        <w:t xml:space="preserve">Xiang, N. (2012). Neonates – are they worth saving? </w:t>
      </w:r>
      <w:r w:rsidRPr="00423904">
        <w:rPr>
          <w:i/>
          <w:noProof/>
          <w:sz w:val="22"/>
        </w:rPr>
        <w:t>Cambridge Medicine Journal</w:t>
      </w:r>
      <w:r w:rsidRPr="00423904">
        <w:rPr>
          <w:noProof/>
          <w:sz w:val="22"/>
        </w:rPr>
        <w:t xml:space="preserve">. </w:t>
      </w:r>
      <w:bookmarkEnd w:id="37"/>
    </w:p>
    <w:p w:rsidR="00423904" w:rsidRDefault="00423904" w:rsidP="00423904">
      <w:pPr>
        <w:rPr>
          <w:noProof/>
          <w:sz w:val="22"/>
        </w:rPr>
      </w:pPr>
    </w:p>
    <w:p w:rsidR="00E423E9" w:rsidRPr="001E77DC" w:rsidRDefault="009040E7" w:rsidP="00150FA7">
      <w:r w:rsidRPr="001E77DC">
        <w:fldChar w:fldCharType="end"/>
      </w:r>
    </w:p>
    <w:sectPr w:rsidR="00E423E9" w:rsidRPr="001E77DC" w:rsidSect="005320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76" w:rsidRDefault="00292A76" w:rsidP="00150FA7">
      <w:r>
        <w:separator/>
      </w:r>
    </w:p>
  </w:endnote>
  <w:endnote w:type="continuationSeparator" w:id="0">
    <w:p w:rsidR="00292A76" w:rsidRDefault="00292A76" w:rsidP="0015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76" w:rsidRDefault="00292A76" w:rsidP="00150FA7">
      <w:r>
        <w:separator/>
      </w:r>
    </w:p>
  </w:footnote>
  <w:footnote w:type="continuationSeparator" w:id="0">
    <w:p w:rsidR="00292A76" w:rsidRDefault="00292A76" w:rsidP="00150FA7">
      <w:r>
        <w:continuationSeparator/>
      </w:r>
    </w:p>
  </w:footnote>
  <w:footnote w:id="1">
    <w:p w:rsidR="0066042D" w:rsidRDefault="0066042D">
      <w:pPr>
        <w:pStyle w:val="FootnoteText"/>
      </w:pPr>
      <w:r>
        <w:rPr>
          <w:rStyle w:val="FootnoteReference"/>
        </w:rPr>
        <w:footnoteRef/>
      </w:r>
      <w:r>
        <w:t xml:space="preserve"> </w:t>
      </w:r>
      <w:r>
        <w:rPr>
          <w:sz w:val="23"/>
          <w:szCs w:val="23"/>
        </w:rPr>
        <w:t>Medical schemes are not-for-profit societies that indemnify their beneficiaries against and reimburse their beneficiaries for medical expenditure (McLeod &amp; Ramjee,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C64A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7426F"/>
    <w:multiLevelType w:val="multilevel"/>
    <w:tmpl w:val="D0F4B60C"/>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center"/>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681311"/>
    <w:multiLevelType w:val="hybridMultilevel"/>
    <w:tmpl w:val="7DBE7FA2"/>
    <w:lvl w:ilvl="0" w:tplc="403CD296">
      <w:numFmt w:val="bullet"/>
      <w:lvlText w:val="-"/>
      <w:lvlJc w:val="left"/>
      <w:pPr>
        <w:ind w:left="757" w:hanging="360"/>
      </w:pPr>
      <w:rPr>
        <w:rFonts w:ascii="Garamond" w:eastAsiaTheme="minorHAnsi" w:hAnsi="Garamond" w:cstheme="minorBidi"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3">
    <w:nsid w:val="04A73130"/>
    <w:multiLevelType w:val="hybridMultilevel"/>
    <w:tmpl w:val="86481ACA"/>
    <w:lvl w:ilvl="0" w:tplc="403CD296">
      <w:numFmt w:val="bullet"/>
      <w:lvlText w:val="-"/>
      <w:lvlJc w:val="left"/>
      <w:pPr>
        <w:ind w:left="757" w:hanging="360"/>
      </w:pPr>
      <w:rPr>
        <w:rFonts w:ascii="Garamond" w:eastAsiaTheme="minorHAnsi" w:hAnsi="Garamond"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9E11F51"/>
    <w:multiLevelType w:val="hybridMultilevel"/>
    <w:tmpl w:val="DF8485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0F115CC"/>
    <w:multiLevelType w:val="hybridMultilevel"/>
    <w:tmpl w:val="F552F9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248113E"/>
    <w:multiLevelType w:val="hybridMultilevel"/>
    <w:tmpl w:val="5F2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54116"/>
    <w:multiLevelType w:val="hybridMultilevel"/>
    <w:tmpl w:val="54B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26DDC"/>
    <w:multiLevelType w:val="hybridMultilevel"/>
    <w:tmpl w:val="B4C0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C22B0"/>
    <w:multiLevelType w:val="hybridMultilevel"/>
    <w:tmpl w:val="E4D08A5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C4760E8"/>
    <w:multiLevelType w:val="multilevel"/>
    <w:tmpl w:val="BEBE1B18"/>
    <w:lvl w:ilvl="0">
      <w:start w:val="1"/>
      <w:numFmt w:val="decimal"/>
      <w:pStyle w:val="ASSAHeading1"/>
      <w:lvlText w:val="%1."/>
      <w:lvlJc w:val="left"/>
      <w:pPr>
        <w:tabs>
          <w:tab w:val="num" w:pos="360"/>
        </w:tabs>
        <w:ind w:left="0" w:firstLine="0"/>
      </w:pPr>
      <w:rPr>
        <w:rFonts w:hint="default"/>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ASSAParagraph"/>
      <w:lvlText w:val="%1.%2.%3"/>
      <w:lvlJc w:val="left"/>
      <w:pPr>
        <w:tabs>
          <w:tab w:val="num" w:pos="1571"/>
        </w:tabs>
        <w:ind w:left="0" w:firstLine="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3057890"/>
    <w:multiLevelType w:val="hybridMultilevel"/>
    <w:tmpl w:val="12C43A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0F">
      <w:start w:val="1"/>
      <w:numFmt w:val="decimal"/>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43FB3E5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B37074"/>
    <w:multiLevelType w:val="hybridMultilevel"/>
    <w:tmpl w:val="FD6810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E6702EE"/>
    <w:multiLevelType w:val="hybridMultilevel"/>
    <w:tmpl w:val="298AF37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514F0FB2"/>
    <w:multiLevelType w:val="hybridMultilevel"/>
    <w:tmpl w:val="7E8C5C5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A844BF8"/>
    <w:multiLevelType w:val="hybridMultilevel"/>
    <w:tmpl w:val="50D214C8"/>
    <w:lvl w:ilvl="0" w:tplc="4BDC9C74">
      <w:start w:val="1"/>
      <w:numFmt w:val="decimal"/>
      <w:lvlText w:val="%1.."/>
      <w:lvlJc w:val="left"/>
      <w:pPr>
        <w:ind w:left="510" w:hanging="51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FAA3D7A"/>
    <w:multiLevelType w:val="hybridMultilevel"/>
    <w:tmpl w:val="83D621DE"/>
    <w:lvl w:ilvl="0" w:tplc="681211F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FB445F5"/>
    <w:multiLevelType w:val="hybridMultilevel"/>
    <w:tmpl w:val="06E87552"/>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12A4D"/>
    <w:multiLevelType w:val="multilevel"/>
    <w:tmpl w:val="14A42482"/>
    <w:lvl w:ilvl="0">
      <w:start w:val="7"/>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ADB1BD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9C214F"/>
    <w:multiLevelType w:val="hybridMultilevel"/>
    <w:tmpl w:val="81CC0D4C"/>
    <w:lvl w:ilvl="0" w:tplc="1C09000F">
      <w:start w:val="1"/>
      <w:numFmt w:val="decimal"/>
      <w:lvlText w:val="%1."/>
      <w:lvlJc w:val="left"/>
      <w:pPr>
        <w:ind w:left="720" w:hanging="360"/>
      </w:pPr>
      <w:rPr>
        <w:rFonts w:hint="default"/>
      </w:rPr>
    </w:lvl>
    <w:lvl w:ilvl="1" w:tplc="62E0C63E"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D18473C"/>
    <w:multiLevelType w:val="multilevel"/>
    <w:tmpl w:val="2204517E"/>
    <w:lvl w:ilvl="0">
      <w:start w:val="1"/>
      <w:numFmt w:val="decimal"/>
      <w:pStyle w:val="Heading1"/>
      <w:lvlText w:val="%1."/>
      <w:lvlJc w:val="left"/>
      <w:pPr>
        <w:tabs>
          <w:tab w:val="num" w:pos="360"/>
        </w:tabs>
        <w:ind w:left="360" w:hanging="360"/>
      </w:pPr>
      <w:rPr>
        <w:rFonts w:hint="default"/>
        <w:color w:val="FFFFFF" w:themeColor="background1"/>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2"/>
  </w:num>
  <w:num w:numId="3">
    <w:abstractNumId w:val="0"/>
  </w:num>
  <w:num w:numId="4">
    <w:abstractNumId w:val="8"/>
  </w:num>
  <w:num w:numId="5">
    <w:abstractNumId w:val="6"/>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4"/>
  </w:num>
  <w:num w:numId="16">
    <w:abstractNumId w:val="15"/>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3"/>
  </w:num>
  <w:num w:numId="23">
    <w:abstractNumId w:val="21"/>
    <w:lvlOverride w:ilvl="0">
      <w:lvl w:ilvl="0" w:tplc="1C09000F">
        <w:start w:val="1"/>
        <w:numFmt w:val="decimal"/>
        <w:lvlText w:val="%1."/>
        <w:lvlJc w:val="left"/>
        <w:pPr>
          <w:ind w:left="720" w:hanging="720"/>
        </w:pPr>
        <w:rPr>
          <w:rFonts w:hint="default"/>
        </w:rPr>
      </w:lvl>
    </w:lvlOverride>
    <w:lvlOverride w:ilvl="1">
      <w:lvl w:ilvl="1" w:tplc="62E0C63E"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24">
    <w:abstractNumId w:val="21"/>
    <w:lvlOverride w:ilvl="0">
      <w:lvl w:ilvl="0" w:tplc="1C09000F">
        <w:start w:val="1"/>
        <w:numFmt w:val="decimal"/>
        <w:lvlText w:val="%1."/>
        <w:lvlJc w:val="left"/>
        <w:pPr>
          <w:ind w:left="510" w:hanging="510"/>
        </w:pPr>
        <w:rPr>
          <w:rFonts w:hint="default"/>
        </w:rPr>
      </w:lvl>
    </w:lvlOverride>
    <w:lvlOverride w:ilvl="1">
      <w:lvl w:ilvl="1" w:tplc="62E0C63E"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25">
    <w:abstractNumId w:val="21"/>
    <w:lvlOverride w:ilvl="0">
      <w:lvl w:ilvl="0" w:tplc="1C09000F">
        <w:start w:val="1"/>
        <w:numFmt w:val="decimal"/>
        <w:lvlText w:val="%1."/>
        <w:lvlJc w:val="left"/>
        <w:pPr>
          <w:ind w:left="360" w:hanging="360"/>
        </w:pPr>
        <w:rPr>
          <w:rFonts w:hint="default"/>
        </w:rPr>
      </w:lvl>
    </w:lvlOverride>
    <w:lvlOverride w:ilvl="1">
      <w:lvl w:ilvl="1" w:tplc="62E0C63E">
        <w:start w:val="1"/>
        <w:numFmt w:val="decimal"/>
        <w:lvlText w:val="%1.%2"/>
        <w:lvlJc w:val="left"/>
        <w:pPr>
          <w:ind w:left="0" w:firstLine="0"/>
        </w:pPr>
        <w:rPr>
          <w:rFonts w:hint="default"/>
        </w:rPr>
      </w:lvl>
    </w:lvlOverride>
    <w:lvlOverride w:ilvl="2">
      <w:lvl w:ilvl="2" w:tplc="1C09001B">
        <w:start w:val="1"/>
        <w:numFmt w:val="decimal"/>
        <w:lvlText w:val="%1.%2.%3"/>
        <w:lvlJc w:val="left"/>
        <w:pPr>
          <w:ind w:left="0" w:firstLine="0"/>
        </w:pPr>
        <w:rPr>
          <w:rFonts w:hint="default"/>
        </w:rPr>
      </w:lvl>
    </w:lvlOverride>
    <w:lvlOverride w:ilvl="3">
      <w:lvl w:ilvl="3" w:tplc="1C09000F">
        <w:start w:val="1"/>
        <w:numFmt w:val="decimal"/>
        <w:lvlText w:val="%1.%2.%3.%4."/>
        <w:lvlJc w:val="left"/>
        <w:pPr>
          <w:ind w:left="1728" w:hanging="648"/>
        </w:pPr>
        <w:rPr>
          <w:rFonts w:hint="default"/>
        </w:rPr>
      </w:lvl>
    </w:lvlOverride>
    <w:lvlOverride w:ilvl="4">
      <w:lvl w:ilvl="4" w:tplc="1C090019">
        <w:start w:val="1"/>
        <w:numFmt w:val="decimal"/>
        <w:lvlText w:val="%1.%2.%3.%4.%5."/>
        <w:lvlJc w:val="left"/>
        <w:pPr>
          <w:ind w:left="2232" w:hanging="792"/>
        </w:pPr>
        <w:rPr>
          <w:rFonts w:hint="default"/>
        </w:rPr>
      </w:lvl>
    </w:lvlOverride>
    <w:lvlOverride w:ilvl="5">
      <w:lvl w:ilvl="5" w:tplc="1C09001B">
        <w:start w:val="1"/>
        <w:numFmt w:val="decimal"/>
        <w:lvlText w:val="%1.%2.%3.%4.%5.%6."/>
        <w:lvlJc w:val="left"/>
        <w:pPr>
          <w:ind w:left="2736" w:hanging="936"/>
        </w:pPr>
        <w:rPr>
          <w:rFonts w:hint="default"/>
        </w:rPr>
      </w:lvl>
    </w:lvlOverride>
    <w:lvlOverride w:ilvl="6">
      <w:lvl w:ilvl="6" w:tplc="1C09000F">
        <w:start w:val="1"/>
        <w:numFmt w:val="decimal"/>
        <w:lvlText w:val="%1.%2.%3.%4.%5.%6.%7."/>
        <w:lvlJc w:val="left"/>
        <w:pPr>
          <w:ind w:left="3240" w:hanging="1080"/>
        </w:pPr>
        <w:rPr>
          <w:rFonts w:hint="default"/>
        </w:rPr>
      </w:lvl>
    </w:lvlOverride>
    <w:lvlOverride w:ilvl="7">
      <w:lvl w:ilvl="7" w:tplc="1C090019">
        <w:start w:val="1"/>
        <w:numFmt w:val="decimal"/>
        <w:lvlText w:val="%1.%2.%3.%4.%5.%6.%7.%8."/>
        <w:lvlJc w:val="left"/>
        <w:pPr>
          <w:ind w:left="3744" w:hanging="1224"/>
        </w:pPr>
        <w:rPr>
          <w:rFonts w:hint="default"/>
        </w:rPr>
      </w:lvl>
    </w:lvlOverride>
    <w:lvlOverride w:ilvl="8">
      <w:lvl w:ilvl="8" w:tplc="1C09001B">
        <w:start w:val="1"/>
        <w:numFmt w:val="decimal"/>
        <w:lvlText w:val="%1.%2.%3.%4.%5.%6.%7.%8.%9."/>
        <w:lvlJc w:val="left"/>
        <w:pPr>
          <w:ind w:left="4320" w:hanging="1440"/>
        </w:pPr>
        <w:rPr>
          <w:rFonts w:hint="default"/>
        </w:rPr>
      </w:lvl>
    </w:lvlOverride>
  </w:num>
  <w:num w:numId="26">
    <w:abstractNumId w:val="12"/>
  </w:num>
  <w:num w:numId="2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1"/>
    <w:lvlOverride w:ilvl="0">
      <w:lvl w:ilvl="0" w:tplc="1C09000F">
        <w:start w:val="1"/>
        <w:numFmt w:val="decimal"/>
        <w:lvlText w:val="%1."/>
        <w:lvlJc w:val="left"/>
        <w:pPr>
          <w:ind w:left="510" w:hanging="510"/>
        </w:pPr>
        <w:rPr>
          <w:rFonts w:hint="default"/>
        </w:rPr>
      </w:lvl>
    </w:lvlOverride>
    <w:lvlOverride w:ilvl="1">
      <w:lvl w:ilvl="1" w:tplc="62E0C63E">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 w:numId="30">
    <w:abstractNumId w:val="20"/>
  </w:num>
  <w:num w:numId="31">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6"/>
  </w:num>
  <w:num w:numId="33">
    <w:abstractNumId w:val="14"/>
  </w:num>
  <w:num w:numId="34">
    <w:abstractNumId w:val="1"/>
  </w:num>
  <w:num w:numId="35">
    <w:abstractNumId w:val="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0&lt;/ScanUnformatted&gt;&lt;ScanChanges&gt;1&lt;/ScanChanges&gt;&lt;Suspended&gt;0&lt;/Suspended&gt;&lt;/ENInstantFormat&gt;"/>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rwxst0e6rfp08ez2z2p9xz70dewxrdrew59&quot;&gt;PhD DEA&lt;record-ids&gt;&lt;item&gt;20&lt;/item&gt;&lt;/record-ids&gt;&lt;/item&gt;&lt;/Libraries&gt;"/>
  </w:docVars>
  <w:rsids>
    <w:rsidRoot w:val="00FD7CFA"/>
    <w:rsid w:val="000045B1"/>
    <w:rsid w:val="000059BA"/>
    <w:rsid w:val="0000791B"/>
    <w:rsid w:val="00010DAE"/>
    <w:rsid w:val="00011FD9"/>
    <w:rsid w:val="00014385"/>
    <w:rsid w:val="00016220"/>
    <w:rsid w:val="00022399"/>
    <w:rsid w:val="00022DC3"/>
    <w:rsid w:val="00022FAA"/>
    <w:rsid w:val="00026826"/>
    <w:rsid w:val="0002696C"/>
    <w:rsid w:val="000277FD"/>
    <w:rsid w:val="000313CC"/>
    <w:rsid w:val="0003222A"/>
    <w:rsid w:val="000324DA"/>
    <w:rsid w:val="00036D1D"/>
    <w:rsid w:val="000407B8"/>
    <w:rsid w:val="00040827"/>
    <w:rsid w:val="00045B75"/>
    <w:rsid w:val="00047E8F"/>
    <w:rsid w:val="00051495"/>
    <w:rsid w:val="000558E1"/>
    <w:rsid w:val="00056A82"/>
    <w:rsid w:val="00060D57"/>
    <w:rsid w:val="00061A17"/>
    <w:rsid w:val="00061DA8"/>
    <w:rsid w:val="0006205B"/>
    <w:rsid w:val="00063C18"/>
    <w:rsid w:val="00066237"/>
    <w:rsid w:val="00067B75"/>
    <w:rsid w:val="0008265F"/>
    <w:rsid w:val="000872AA"/>
    <w:rsid w:val="00090D44"/>
    <w:rsid w:val="00091204"/>
    <w:rsid w:val="0009240C"/>
    <w:rsid w:val="00092FF4"/>
    <w:rsid w:val="00096699"/>
    <w:rsid w:val="00097DBB"/>
    <w:rsid w:val="000A01D1"/>
    <w:rsid w:val="000A0E24"/>
    <w:rsid w:val="000A3530"/>
    <w:rsid w:val="000A3974"/>
    <w:rsid w:val="000A39C8"/>
    <w:rsid w:val="000A621C"/>
    <w:rsid w:val="000A7057"/>
    <w:rsid w:val="000B109A"/>
    <w:rsid w:val="000B26AD"/>
    <w:rsid w:val="000B2723"/>
    <w:rsid w:val="000C1CB5"/>
    <w:rsid w:val="000C2408"/>
    <w:rsid w:val="000C5479"/>
    <w:rsid w:val="000C7434"/>
    <w:rsid w:val="000D1A05"/>
    <w:rsid w:val="000D2131"/>
    <w:rsid w:val="000D31BF"/>
    <w:rsid w:val="000E0323"/>
    <w:rsid w:val="000E07EF"/>
    <w:rsid w:val="000E0D12"/>
    <w:rsid w:val="000E4404"/>
    <w:rsid w:val="000E6E67"/>
    <w:rsid w:val="000F01CB"/>
    <w:rsid w:val="000F3E13"/>
    <w:rsid w:val="000F455F"/>
    <w:rsid w:val="000F7EBF"/>
    <w:rsid w:val="001001E6"/>
    <w:rsid w:val="00102BDC"/>
    <w:rsid w:val="00102F53"/>
    <w:rsid w:val="001031BD"/>
    <w:rsid w:val="0010430F"/>
    <w:rsid w:val="0010464F"/>
    <w:rsid w:val="00110699"/>
    <w:rsid w:val="00113A35"/>
    <w:rsid w:val="00113DD9"/>
    <w:rsid w:val="001140D9"/>
    <w:rsid w:val="00114C7D"/>
    <w:rsid w:val="001171A5"/>
    <w:rsid w:val="00124C3C"/>
    <w:rsid w:val="00125806"/>
    <w:rsid w:val="00130AE2"/>
    <w:rsid w:val="00130B52"/>
    <w:rsid w:val="00134148"/>
    <w:rsid w:val="001415D4"/>
    <w:rsid w:val="0014370A"/>
    <w:rsid w:val="001451B1"/>
    <w:rsid w:val="00150FA7"/>
    <w:rsid w:val="001515B9"/>
    <w:rsid w:val="00151810"/>
    <w:rsid w:val="00151992"/>
    <w:rsid w:val="0015309A"/>
    <w:rsid w:val="00154DF2"/>
    <w:rsid w:val="0015514A"/>
    <w:rsid w:val="00156C23"/>
    <w:rsid w:val="001575A9"/>
    <w:rsid w:val="00160A6B"/>
    <w:rsid w:val="001622E8"/>
    <w:rsid w:val="00162C4C"/>
    <w:rsid w:val="00163671"/>
    <w:rsid w:val="00164DCC"/>
    <w:rsid w:val="00166052"/>
    <w:rsid w:val="00166EF1"/>
    <w:rsid w:val="00170AAB"/>
    <w:rsid w:val="0017499F"/>
    <w:rsid w:val="00174E15"/>
    <w:rsid w:val="00177C89"/>
    <w:rsid w:val="00187D33"/>
    <w:rsid w:val="00192C8D"/>
    <w:rsid w:val="001945A3"/>
    <w:rsid w:val="00194862"/>
    <w:rsid w:val="00194973"/>
    <w:rsid w:val="00194AAA"/>
    <w:rsid w:val="0019721C"/>
    <w:rsid w:val="001A035D"/>
    <w:rsid w:val="001A0486"/>
    <w:rsid w:val="001A3E73"/>
    <w:rsid w:val="001B1BDC"/>
    <w:rsid w:val="001B37DA"/>
    <w:rsid w:val="001B3EB6"/>
    <w:rsid w:val="001B45D3"/>
    <w:rsid w:val="001B4D72"/>
    <w:rsid w:val="001C24FA"/>
    <w:rsid w:val="001C3C8A"/>
    <w:rsid w:val="001C46E9"/>
    <w:rsid w:val="001C5CC1"/>
    <w:rsid w:val="001C6CDD"/>
    <w:rsid w:val="001C731A"/>
    <w:rsid w:val="001D0BC7"/>
    <w:rsid w:val="001D10C8"/>
    <w:rsid w:val="001D20EE"/>
    <w:rsid w:val="001D5779"/>
    <w:rsid w:val="001D7D64"/>
    <w:rsid w:val="001E0963"/>
    <w:rsid w:val="001E0D69"/>
    <w:rsid w:val="001E154A"/>
    <w:rsid w:val="001E1644"/>
    <w:rsid w:val="001E1DB6"/>
    <w:rsid w:val="001E3DA3"/>
    <w:rsid w:val="001E77CE"/>
    <w:rsid w:val="001E77DC"/>
    <w:rsid w:val="001F0A3F"/>
    <w:rsid w:val="001F33FD"/>
    <w:rsid w:val="001F5713"/>
    <w:rsid w:val="001F63DE"/>
    <w:rsid w:val="001F6E78"/>
    <w:rsid w:val="00200B0C"/>
    <w:rsid w:val="00203548"/>
    <w:rsid w:val="00204838"/>
    <w:rsid w:val="002055F7"/>
    <w:rsid w:val="00205ED5"/>
    <w:rsid w:val="0020642B"/>
    <w:rsid w:val="002117B5"/>
    <w:rsid w:val="00211B15"/>
    <w:rsid w:val="00212717"/>
    <w:rsid w:val="00213901"/>
    <w:rsid w:val="002139A5"/>
    <w:rsid w:val="00217939"/>
    <w:rsid w:val="00222197"/>
    <w:rsid w:val="00223207"/>
    <w:rsid w:val="00225497"/>
    <w:rsid w:val="002256A6"/>
    <w:rsid w:val="002312EC"/>
    <w:rsid w:val="002359AF"/>
    <w:rsid w:val="00236BCF"/>
    <w:rsid w:val="00236FA3"/>
    <w:rsid w:val="002371AA"/>
    <w:rsid w:val="002449DB"/>
    <w:rsid w:val="00244D9A"/>
    <w:rsid w:val="0024549D"/>
    <w:rsid w:val="00245DBD"/>
    <w:rsid w:val="00247C9D"/>
    <w:rsid w:val="002528F2"/>
    <w:rsid w:val="0026006A"/>
    <w:rsid w:val="00260CC2"/>
    <w:rsid w:val="0026283D"/>
    <w:rsid w:val="002628B2"/>
    <w:rsid w:val="00262F32"/>
    <w:rsid w:val="00265ED9"/>
    <w:rsid w:val="00267A49"/>
    <w:rsid w:val="00267A6C"/>
    <w:rsid w:val="00275AD7"/>
    <w:rsid w:val="0027647F"/>
    <w:rsid w:val="00276C86"/>
    <w:rsid w:val="00276D77"/>
    <w:rsid w:val="0028009C"/>
    <w:rsid w:val="00281908"/>
    <w:rsid w:val="002835B6"/>
    <w:rsid w:val="00283BC3"/>
    <w:rsid w:val="0028680D"/>
    <w:rsid w:val="00286C5B"/>
    <w:rsid w:val="002879EE"/>
    <w:rsid w:val="00292A76"/>
    <w:rsid w:val="00293172"/>
    <w:rsid w:val="002939CF"/>
    <w:rsid w:val="002957C7"/>
    <w:rsid w:val="002A2EBB"/>
    <w:rsid w:val="002A710F"/>
    <w:rsid w:val="002B0492"/>
    <w:rsid w:val="002B281B"/>
    <w:rsid w:val="002B2976"/>
    <w:rsid w:val="002B3937"/>
    <w:rsid w:val="002B6135"/>
    <w:rsid w:val="002B7516"/>
    <w:rsid w:val="002C103E"/>
    <w:rsid w:val="002C10F3"/>
    <w:rsid w:val="002C51F2"/>
    <w:rsid w:val="002D13E8"/>
    <w:rsid w:val="002D35D5"/>
    <w:rsid w:val="002D5FB9"/>
    <w:rsid w:val="002D6E57"/>
    <w:rsid w:val="002D7036"/>
    <w:rsid w:val="002D74E5"/>
    <w:rsid w:val="002E039F"/>
    <w:rsid w:val="002E4FFF"/>
    <w:rsid w:val="002E59FB"/>
    <w:rsid w:val="002E7CAD"/>
    <w:rsid w:val="002F086A"/>
    <w:rsid w:val="002F50AF"/>
    <w:rsid w:val="002F5EEA"/>
    <w:rsid w:val="0030257A"/>
    <w:rsid w:val="003027D3"/>
    <w:rsid w:val="00306B75"/>
    <w:rsid w:val="00307DDE"/>
    <w:rsid w:val="00307FB7"/>
    <w:rsid w:val="00310D52"/>
    <w:rsid w:val="00313B48"/>
    <w:rsid w:val="003169A2"/>
    <w:rsid w:val="003224BB"/>
    <w:rsid w:val="00325725"/>
    <w:rsid w:val="00326757"/>
    <w:rsid w:val="00326D17"/>
    <w:rsid w:val="003270E9"/>
    <w:rsid w:val="00331327"/>
    <w:rsid w:val="00331F14"/>
    <w:rsid w:val="00335C3D"/>
    <w:rsid w:val="00336A3C"/>
    <w:rsid w:val="00337507"/>
    <w:rsid w:val="00342288"/>
    <w:rsid w:val="003427E9"/>
    <w:rsid w:val="00343029"/>
    <w:rsid w:val="00343F7A"/>
    <w:rsid w:val="003465A7"/>
    <w:rsid w:val="00351940"/>
    <w:rsid w:val="0035340C"/>
    <w:rsid w:val="00353B5D"/>
    <w:rsid w:val="00354523"/>
    <w:rsid w:val="00356B20"/>
    <w:rsid w:val="00357EB9"/>
    <w:rsid w:val="00363C57"/>
    <w:rsid w:val="00365EBE"/>
    <w:rsid w:val="00366F21"/>
    <w:rsid w:val="00370DC8"/>
    <w:rsid w:val="0037117B"/>
    <w:rsid w:val="003717BE"/>
    <w:rsid w:val="003724D0"/>
    <w:rsid w:val="00372588"/>
    <w:rsid w:val="00373961"/>
    <w:rsid w:val="00374D7C"/>
    <w:rsid w:val="003764F4"/>
    <w:rsid w:val="00376DCC"/>
    <w:rsid w:val="0038172A"/>
    <w:rsid w:val="00381861"/>
    <w:rsid w:val="00381FB7"/>
    <w:rsid w:val="003827E9"/>
    <w:rsid w:val="00384E01"/>
    <w:rsid w:val="003864CF"/>
    <w:rsid w:val="003900F6"/>
    <w:rsid w:val="003918BA"/>
    <w:rsid w:val="00392C94"/>
    <w:rsid w:val="003A0A8C"/>
    <w:rsid w:val="003A177C"/>
    <w:rsid w:val="003A1DF9"/>
    <w:rsid w:val="003A31EF"/>
    <w:rsid w:val="003A429E"/>
    <w:rsid w:val="003A4D04"/>
    <w:rsid w:val="003A6B70"/>
    <w:rsid w:val="003B2C3F"/>
    <w:rsid w:val="003B4047"/>
    <w:rsid w:val="003B666D"/>
    <w:rsid w:val="003C0DCC"/>
    <w:rsid w:val="003C123A"/>
    <w:rsid w:val="003C14E0"/>
    <w:rsid w:val="003C2C7C"/>
    <w:rsid w:val="003C3270"/>
    <w:rsid w:val="003C3BE5"/>
    <w:rsid w:val="003C40EA"/>
    <w:rsid w:val="003C4CE6"/>
    <w:rsid w:val="003C5FCA"/>
    <w:rsid w:val="003D0867"/>
    <w:rsid w:val="003D1D10"/>
    <w:rsid w:val="003E2F48"/>
    <w:rsid w:val="003E43CB"/>
    <w:rsid w:val="003E5970"/>
    <w:rsid w:val="003F20C0"/>
    <w:rsid w:val="003F2734"/>
    <w:rsid w:val="003F3BB2"/>
    <w:rsid w:val="003F4AE2"/>
    <w:rsid w:val="003F4E97"/>
    <w:rsid w:val="003F4EF4"/>
    <w:rsid w:val="003F610D"/>
    <w:rsid w:val="003F6F56"/>
    <w:rsid w:val="003F7139"/>
    <w:rsid w:val="0040035D"/>
    <w:rsid w:val="00400DED"/>
    <w:rsid w:val="00401D9E"/>
    <w:rsid w:val="00404975"/>
    <w:rsid w:val="00407232"/>
    <w:rsid w:val="004076B3"/>
    <w:rsid w:val="00410E01"/>
    <w:rsid w:val="00411E7D"/>
    <w:rsid w:val="00414505"/>
    <w:rsid w:val="0041483E"/>
    <w:rsid w:val="00414F56"/>
    <w:rsid w:val="00421EED"/>
    <w:rsid w:val="00422882"/>
    <w:rsid w:val="00423904"/>
    <w:rsid w:val="004250A5"/>
    <w:rsid w:val="004267E2"/>
    <w:rsid w:val="00427928"/>
    <w:rsid w:val="0043270E"/>
    <w:rsid w:val="0043476C"/>
    <w:rsid w:val="00435523"/>
    <w:rsid w:val="00437DF5"/>
    <w:rsid w:val="004402E1"/>
    <w:rsid w:val="004403CE"/>
    <w:rsid w:val="00440584"/>
    <w:rsid w:val="004407F9"/>
    <w:rsid w:val="00440D31"/>
    <w:rsid w:val="004478A5"/>
    <w:rsid w:val="00450100"/>
    <w:rsid w:val="00452267"/>
    <w:rsid w:val="00452783"/>
    <w:rsid w:val="004579AF"/>
    <w:rsid w:val="004610A4"/>
    <w:rsid w:val="00461F2D"/>
    <w:rsid w:val="00464F53"/>
    <w:rsid w:val="0046605E"/>
    <w:rsid w:val="00466434"/>
    <w:rsid w:val="0047135A"/>
    <w:rsid w:val="0047151A"/>
    <w:rsid w:val="004745D1"/>
    <w:rsid w:val="0047650A"/>
    <w:rsid w:val="00480F6F"/>
    <w:rsid w:val="004815CC"/>
    <w:rsid w:val="00482CD1"/>
    <w:rsid w:val="00483720"/>
    <w:rsid w:val="0048420A"/>
    <w:rsid w:val="00487E60"/>
    <w:rsid w:val="00490B23"/>
    <w:rsid w:val="00496FD7"/>
    <w:rsid w:val="00497E91"/>
    <w:rsid w:val="004A2220"/>
    <w:rsid w:val="004A2EE2"/>
    <w:rsid w:val="004A6EEA"/>
    <w:rsid w:val="004B04B4"/>
    <w:rsid w:val="004B0534"/>
    <w:rsid w:val="004B3310"/>
    <w:rsid w:val="004B4D91"/>
    <w:rsid w:val="004B6714"/>
    <w:rsid w:val="004C1579"/>
    <w:rsid w:val="004C238D"/>
    <w:rsid w:val="004C2E07"/>
    <w:rsid w:val="004C3238"/>
    <w:rsid w:val="004C425A"/>
    <w:rsid w:val="004C7F14"/>
    <w:rsid w:val="004D5C81"/>
    <w:rsid w:val="004E0A19"/>
    <w:rsid w:val="004E248E"/>
    <w:rsid w:val="004E2ADB"/>
    <w:rsid w:val="004E3B41"/>
    <w:rsid w:val="004E63A7"/>
    <w:rsid w:val="004E654A"/>
    <w:rsid w:val="004F143A"/>
    <w:rsid w:val="004F359C"/>
    <w:rsid w:val="004F4F53"/>
    <w:rsid w:val="004F75CB"/>
    <w:rsid w:val="004F7CFB"/>
    <w:rsid w:val="00500A1E"/>
    <w:rsid w:val="00502F81"/>
    <w:rsid w:val="00504387"/>
    <w:rsid w:val="00504FF9"/>
    <w:rsid w:val="00505135"/>
    <w:rsid w:val="0050528F"/>
    <w:rsid w:val="0050719F"/>
    <w:rsid w:val="00511101"/>
    <w:rsid w:val="00514DD6"/>
    <w:rsid w:val="005151BD"/>
    <w:rsid w:val="00515C1D"/>
    <w:rsid w:val="00517E09"/>
    <w:rsid w:val="00523826"/>
    <w:rsid w:val="00527AB1"/>
    <w:rsid w:val="0053013B"/>
    <w:rsid w:val="00530318"/>
    <w:rsid w:val="00530FF6"/>
    <w:rsid w:val="0053207D"/>
    <w:rsid w:val="00533764"/>
    <w:rsid w:val="005371C4"/>
    <w:rsid w:val="00537756"/>
    <w:rsid w:val="0054098D"/>
    <w:rsid w:val="0054371A"/>
    <w:rsid w:val="00543970"/>
    <w:rsid w:val="00544D49"/>
    <w:rsid w:val="00551B7F"/>
    <w:rsid w:val="00553908"/>
    <w:rsid w:val="00553FDD"/>
    <w:rsid w:val="0055776C"/>
    <w:rsid w:val="00557786"/>
    <w:rsid w:val="0056313D"/>
    <w:rsid w:val="0056548F"/>
    <w:rsid w:val="005705BA"/>
    <w:rsid w:val="005724C1"/>
    <w:rsid w:val="00573D58"/>
    <w:rsid w:val="005749EC"/>
    <w:rsid w:val="00577C05"/>
    <w:rsid w:val="00581B19"/>
    <w:rsid w:val="00587DF1"/>
    <w:rsid w:val="005914FE"/>
    <w:rsid w:val="00591DC1"/>
    <w:rsid w:val="005936B4"/>
    <w:rsid w:val="00594C45"/>
    <w:rsid w:val="00596F3A"/>
    <w:rsid w:val="005A3300"/>
    <w:rsid w:val="005A56CB"/>
    <w:rsid w:val="005A6EC0"/>
    <w:rsid w:val="005B074A"/>
    <w:rsid w:val="005B0B15"/>
    <w:rsid w:val="005B0D7D"/>
    <w:rsid w:val="005B3583"/>
    <w:rsid w:val="005B718B"/>
    <w:rsid w:val="005C146F"/>
    <w:rsid w:val="005C3BAA"/>
    <w:rsid w:val="005C650D"/>
    <w:rsid w:val="005C773D"/>
    <w:rsid w:val="005D10DF"/>
    <w:rsid w:val="005D1B7A"/>
    <w:rsid w:val="005D4581"/>
    <w:rsid w:val="005E05AB"/>
    <w:rsid w:val="005E25D3"/>
    <w:rsid w:val="005E3408"/>
    <w:rsid w:val="005E3DA7"/>
    <w:rsid w:val="005E7B1B"/>
    <w:rsid w:val="005F2A0B"/>
    <w:rsid w:val="005F5888"/>
    <w:rsid w:val="005F6D7F"/>
    <w:rsid w:val="0060100E"/>
    <w:rsid w:val="0060244F"/>
    <w:rsid w:val="006037A8"/>
    <w:rsid w:val="00603A1F"/>
    <w:rsid w:val="0060440A"/>
    <w:rsid w:val="00610BF6"/>
    <w:rsid w:val="00613B31"/>
    <w:rsid w:val="006156AE"/>
    <w:rsid w:val="0061572F"/>
    <w:rsid w:val="006159E8"/>
    <w:rsid w:val="00616F79"/>
    <w:rsid w:val="00623559"/>
    <w:rsid w:val="0062388F"/>
    <w:rsid w:val="006256D6"/>
    <w:rsid w:val="00625779"/>
    <w:rsid w:val="00627A93"/>
    <w:rsid w:val="0063640D"/>
    <w:rsid w:val="006367A4"/>
    <w:rsid w:val="006401DC"/>
    <w:rsid w:val="00652BAC"/>
    <w:rsid w:val="00654216"/>
    <w:rsid w:val="006559AC"/>
    <w:rsid w:val="00656CF9"/>
    <w:rsid w:val="00660030"/>
    <w:rsid w:val="0066042D"/>
    <w:rsid w:val="00662A1E"/>
    <w:rsid w:val="00663988"/>
    <w:rsid w:val="006666C3"/>
    <w:rsid w:val="00670D86"/>
    <w:rsid w:val="00674B9A"/>
    <w:rsid w:val="006755C0"/>
    <w:rsid w:val="0067601A"/>
    <w:rsid w:val="006772A7"/>
    <w:rsid w:val="00677539"/>
    <w:rsid w:val="00681610"/>
    <w:rsid w:val="00683668"/>
    <w:rsid w:val="00684229"/>
    <w:rsid w:val="00684716"/>
    <w:rsid w:val="00685D23"/>
    <w:rsid w:val="00686345"/>
    <w:rsid w:val="006870D4"/>
    <w:rsid w:val="00687899"/>
    <w:rsid w:val="006926D2"/>
    <w:rsid w:val="00692A50"/>
    <w:rsid w:val="00692DD8"/>
    <w:rsid w:val="00694165"/>
    <w:rsid w:val="00694DF8"/>
    <w:rsid w:val="00695018"/>
    <w:rsid w:val="00695338"/>
    <w:rsid w:val="00696AF9"/>
    <w:rsid w:val="0069707E"/>
    <w:rsid w:val="006A116B"/>
    <w:rsid w:val="006A13B6"/>
    <w:rsid w:val="006A33FC"/>
    <w:rsid w:val="006B0841"/>
    <w:rsid w:val="006B3A8B"/>
    <w:rsid w:val="006C2469"/>
    <w:rsid w:val="006C28CE"/>
    <w:rsid w:val="006C668C"/>
    <w:rsid w:val="006C6DE8"/>
    <w:rsid w:val="006D258D"/>
    <w:rsid w:val="006D31ED"/>
    <w:rsid w:val="006D6077"/>
    <w:rsid w:val="006D728E"/>
    <w:rsid w:val="006E195A"/>
    <w:rsid w:val="006E3928"/>
    <w:rsid w:val="006E4E01"/>
    <w:rsid w:val="006F21BF"/>
    <w:rsid w:val="006F4D40"/>
    <w:rsid w:val="006F637F"/>
    <w:rsid w:val="00706C58"/>
    <w:rsid w:val="0070781D"/>
    <w:rsid w:val="00707AA8"/>
    <w:rsid w:val="0071241B"/>
    <w:rsid w:val="00717191"/>
    <w:rsid w:val="00717632"/>
    <w:rsid w:val="00722230"/>
    <w:rsid w:val="0073174F"/>
    <w:rsid w:val="00732B8D"/>
    <w:rsid w:val="00733C65"/>
    <w:rsid w:val="00734450"/>
    <w:rsid w:val="0073448E"/>
    <w:rsid w:val="00734771"/>
    <w:rsid w:val="00735B8A"/>
    <w:rsid w:val="007368E7"/>
    <w:rsid w:val="0073700A"/>
    <w:rsid w:val="007424E4"/>
    <w:rsid w:val="00743610"/>
    <w:rsid w:val="00744C8C"/>
    <w:rsid w:val="00747297"/>
    <w:rsid w:val="007476EB"/>
    <w:rsid w:val="00747A7C"/>
    <w:rsid w:val="00753E87"/>
    <w:rsid w:val="007577B3"/>
    <w:rsid w:val="007604F6"/>
    <w:rsid w:val="00762168"/>
    <w:rsid w:val="00763E88"/>
    <w:rsid w:val="007645A7"/>
    <w:rsid w:val="00765FA2"/>
    <w:rsid w:val="00767968"/>
    <w:rsid w:val="007718F2"/>
    <w:rsid w:val="00771BFE"/>
    <w:rsid w:val="00772ABE"/>
    <w:rsid w:val="007733D0"/>
    <w:rsid w:val="00777DAC"/>
    <w:rsid w:val="00777DB9"/>
    <w:rsid w:val="0078173C"/>
    <w:rsid w:val="00783B1D"/>
    <w:rsid w:val="00784BC8"/>
    <w:rsid w:val="007901FF"/>
    <w:rsid w:val="0079083B"/>
    <w:rsid w:val="0079097D"/>
    <w:rsid w:val="0079309B"/>
    <w:rsid w:val="00794EC5"/>
    <w:rsid w:val="00797B09"/>
    <w:rsid w:val="007A18A9"/>
    <w:rsid w:val="007A2B78"/>
    <w:rsid w:val="007A53CE"/>
    <w:rsid w:val="007A5833"/>
    <w:rsid w:val="007B1F4A"/>
    <w:rsid w:val="007B24E9"/>
    <w:rsid w:val="007B57B1"/>
    <w:rsid w:val="007B5B2B"/>
    <w:rsid w:val="007C0604"/>
    <w:rsid w:val="007C361C"/>
    <w:rsid w:val="007C66F5"/>
    <w:rsid w:val="007C6C0D"/>
    <w:rsid w:val="007C7EB2"/>
    <w:rsid w:val="007D049D"/>
    <w:rsid w:val="007D33DA"/>
    <w:rsid w:val="007D52BC"/>
    <w:rsid w:val="007D6406"/>
    <w:rsid w:val="007D69F1"/>
    <w:rsid w:val="007D6E4A"/>
    <w:rsid w:val="007D7843"/>
    <w:rsid w:val="007E049F"/>
    <w:rsid w:val="007E3954"/>
    <w:rsid w:val="007E43DF"/>
    <w:rsid w:val="007E4838"/>
    <w:rsid w:val="007E5911"/>
    <w:rsid w:val="007E5C57"/>
    <w:rsid w:val="007E63BB"/>
    <w:rsid w:val="007F2E82"/>
    <w:rsid w:val="007F37CE"/>
    <w:rsid w:val="007F5D5E"/>
    <w:rsid w:val="007F66B2"/>
    <w:rsid w:val="008030D3"/>
    <w:rsid w:val="00803B3E"/>
    <w:rsid w:val="0080404B"/>
    <w:rsid w:val="00806B9E"/>
    <w:rsid w:val="00807D96"/>
    <w:rsid w:val="00811C6D"/>
    <w:rsid w:val="0081288A"/>
    <w:rsid w:val="00813CF4"/>
    <w:rsid w:val="00814C1C"/>
    <w:rsid w:val="00817802"/>
    <w:rsid w:val="00821FDA"/>
    <w:rsid w:val="0082714A"/>
    <w:rsid w:val="00831751"/>
    <w:rsid w:val="008326CC"/>
    <w:rsid w:val="0083523C"/>
    <w:rsid w:val="00837CE1"/>
    <w:rsid w:val="00837D6D"/>
    <w:rsid w:val="00840AE8"/>
    <w:rsid w:val="00842C74"/>
    <w:rsid w:val="00845425"/>
    <w:rsid w:val="0085252C"/>
    <w:rsid w:val="008536EE"/>
    <w:rsid w:val="00856BC5"/>
    <w:rsid w:val="008572E1"/>
    <w:rsid w:val="00857C95"/>
    <w:rsid w:val="0086374C"/>
    <w:rsid w:val="00864D7B"/>
    <w:rsid w:val="00864E10"/>
    <w:rsid w:val="00871C7E"/>
    <w:rsid w:val="00875071"/>
    <w:rsid w:val="0089094F"/>
    <w:rsid w:val="00893919"/>
    <w:rsid w:val="00895DF3"/>
    <w:rsid w:val="0089690D"/>
    <w:rsid w:val="008A17A5"/>
    <w:rsid w:val="008A3ADD"/>
    <w:rsid w:val="008A746C"/>
    <w:rsid w:val="008A7D90"/>
    <w:rsid w:val="008B54E1"/>
    <w:rsid w:val="008B6A74"/>
    <w:rsid w:val="008C11CB"/>
    <w:rsid w:val="008C181D"/>
    <w:rsid w:val="008C195D"/>
    <w:rsid w:val="008C3F76"/>
    <w:rsid w:val="008C5899"/>
    <w:rsid w:val="008D0A1C"/>
    <w:rsid w:val="008D5B3B"/>
    <w:rsid w:val="008E0BA5"/>
    <w:rsid w:val="008E1024"/>
    <w:rsid w:val="008E10DB"/>
    <w:rsid w:val="008E1421"/>
    <w:rsid w:val="008E1CE6"/>
    <w:rsid w:val="008E3DFF"/>
    <w:rsid w:val="008E6A87"/>
    <w:rsid w:val="008F07AF"/>
    <w:rsid w:val="008F0D8C"/>
    <w:rsid w:val="008F0EF0"/>
    <w:rsid w:val="008F25F2"/>
    <w:rsid w:val="008F2DB0"/>
    <w:rsid w:val="008F5B50"/>
    <w:rsid w:val="0090262C"/>
    <w:rsid w:val="0090301D"/>
    <w:rsid w:val="00903733"/>
    <w:rsid w:val="009040E7"/>
    <w:rsid w:val="0090549F"/>
    <w:rsid w:val="00906A0C"/>
    <w:rsid w:val="00906B9A"/>
    <w:rsid w:val="0091225B"/>
    <w:rsid w:val="009130EB"/>
    <w:rsid w:val="00914197"/>
    <w:rsid w:val="0091473B"/>
    <w:rsid w:val="0091539E"/>
    <w:rsid w:val="00923C36"/>
    <w:rsid w:val="009340EC"/>
    <w:rsid w:val="0094073C"/>
    <w:rsid w:val="009411A4"/>
    <w:rsid w:val="009422A2"/>
    <w:rsid w:val="0094355A"/>
    <w:rsid w:val="00944A43"/>
    <w:rsid w:val="00945725"/>
    <w:rsid w:val="00955610"/>
    <w:rsid w:val="009606E3"/>
    <w:rsid w:val="0096627C"/>
    <w:rsid w:val="00966ABA"/>
    <w:rsid w:val="00967C04"/>
    <w:rsid w:val="0097086F"/>
    <w:rsid w:val="0097166B"/>
    <w:rsid w:val="00971A32"/>
    <w:rsid w:val="00974456"/>
    <w:rsid w:val="009744EC"/>
    <w:rsid w:val="009755D9"/>
    <w:rsid w:val="009770EF"/>
    <w:rsid w:val="00983AF9"/>
    <w:rsid w:val="00985C74"/>
    <w:rsid w:val="00990A67"/>
    <w:rsid w:val="00993F39"/>
    <w:rsid w:val="00996608"/>
    <w:rsid w:val="00996760"/>
    <w:rsid w:val="009A1BEC"/>
    <w:rsid w:val="009A1E7D"/>
    <w:rsid w:val="009A370F"/>
    <w:rsid w:val="009A50DB"/>
    <w:rsid w:val="009B0313"/>
    <w:rsid w:val="009B6F04"/>
    <w:rsid w:val="009B704D"/>
    <w:rsid w:val="009B772B"/>
    <w:rsid w:val="009B7D1E"/>
    <w:rsid w:val="009C46DA"/>
    <w:rsid w:val="009C47D2"/>
    <w:rsid w:val="009C5270"/>
    <w:rsid w:val="009D1A6B"/>
    <w:rsid w:val="009D2931"/>
    <w:rsid w:val="009D35CB"/>
    <w:rsid w:val="009D4014"/>
    <w:rsid w:val="009D4E37"/>
    <w:rsid w:val="009E4DE9"/>
    <w:rsid w:val="009E5507"/>
    <w:rsid w:val="009F0CE1"/>
    <w:rsid w:val="009F282C"/>
    <w:rsid w:val="009F4549"/>
    <w:rsid w:val="009F4BAC"/>
    <w:rsid w:val="009F5119"/>
    <w:rsid w:val="00A00C24"/>
    <w:rsid w:val="00A0218B"/>
    <w:rsid w:val="00A02544"/>
    <w:rsid w:val="00A03DAB"/>
    <w:rsid w:val="00A04659"/>
    <w:rsid w:val="00A13A35"/>
    <w:rsid w:val="00A17779"/>
    <w:rsid w:val="00A2516B"/>
    <w:rsid w:val="00A30167"/>
    <w:rsid w:val="00A32152"/>
    <w:rsid w:val="00A35639"/>
    <w:rsid w:val="00A36652"/>
    <w:rsid w:val="00A415C3"/>
    <w:rsid w:val="00A4549D"/>
    <w:rsid w:val="00A479AB"/>
    <w:rsid w:val="00A504C5"/>
    <w:rsid w:val="00A50A09"/>
    <w:rsid w:val="00A5131B"/>
    <w:rsid w:val="00A51B43"/>
    <w:rsid w:val="00A5220F"/>
    <w:rsid w:val="00A54B1A"/>
    <w:rsid w:val="00A6065C"/>
    <w:rsid w:val="00A61305"/>
    <w:rsid w:val="00A64AA7"/>
    <w:rsid w:val="00A71DEB"/>
    <w:rsid w:val="00A73CC1"/>
    <w:rsid w:val="00A73D6A"/>
    <w:rsid w:val="00A75A3F"/>
    <w:rsid w:val="00A762FD"/>
    <w:rsid w:val="00A76908"/>
    <w:rsid w:val="00A82EE7"/>
    <w:rsid w:val="00A86BFB"/>
    <w:rsid w:val="00A86CDE"/>
    <w:rsid w:val="00A87EA3"/>
    <w:rsid w:val="00A909D0"/>
    <w:rsid w:val="00A9108F"/>
    <w:rsid w:val="00A96063"/>
    <w:rsid w:val="00A963E6"/>
    <w:rsid w:val="00A97125"/>
    <w:rsid w:val="00A97EAC"/>
    <w:rsid w:val="00AA0A33"/>
    <w:rsid w:val="00AA1C5A"/>
    <w:rsid w:val="00AA2AD8"/>
    <w:rsid w:val="00AA5006"/>
    <w:rsid w:val="00AA6FDE"/>
    <w:rsid w:val="00AB05FB"/>
    <w:rsid w:val="00AB1B88"/>
    <w:rsid w:val="00AB37A8"/>
    <w:rsid w:val="00AB623B"/>
    <w:rsid w:val="00AC0A05"/>
    <w:rsid w:val="00AC2EA2"/>
    <w:rsid w:val="00AC634A"/>
    <w:rsid w:val="00AD0700"/>
    <w:rsid w:val="00AD2174"/>
    <w:rsid w:val="00AD2BAD"/>
    <w:rsid w:val="00AD3F0A"/>
    <w:rsid w:val="00AE2618"/>
    <w:rsid w:val="00AE478C"/>
    <w:rsid w:val="00AE5259"/>
    <w:rsid w:val="00AF0DE1"/>
    <w:rsid w:val="00AF16AC"/>
    <w:rsid w:val="00B00D05"/>
    <w:rsid w:val="00B025D4"/>
    <w:rsid w:val="00B03662"/>
    <w:rsid w:val="00B03B0A"/>
    <w:rsid w:val="00B04016"/>
    <w:rsid w:val="00B06956"/>
    <w:rsid w:val="00B07F1E"/>
    <w:rsid w:val="00B103B5"/>
    <w:rsid w:val="00B1147A"/>
    <w:rsid w:val="00B13392"/>
    <w:rsid w:val="00B16027"/>
    <w:rsid w:val="00B16A67"/>
    <w:rsid w:val="00B20BF2"/>
    <w:rsid w:val="00B20FF7"/>
    <w:rsid w:val="00B213BA"/>
    <w:rsid w:val="00B24241"/>
    <w:rsid w:val="00B31902"/>
    <w:rsid w:val="00B336E3"/>
    <w:rsid w:val="00B34A9D"/>
    <w:rsid w:val="00B36C76"/>
    <w:rsid w:val="00B46A63"/>
    <w:rsid w:val="00B478B8"/>
    <w:rsid w:val="00B50899"/>
    <w:rsid w:val="00B5089B"/>
    <w:rsid w:val="00B53211"/>
    <w:rsid w:val="00B54D1C"/>
    <w:rsid w:val="00B550A4"/>
    <w:rsid w:val="00B56214"/>
    <w:rsid w:val="00B60668"/>
    <w:rsid w:val="00B615D9"/>
    <w:rsid w:val="00B6396B"/>
    <w:rsid w:val="00B67F46"/>
    <w:rsid w:val="00B7039F"/>
    <w:rsid w:val="00B72798"/>
    <w:rsid w:val="00B7328D"/>
    <w:rsid w:val="00B76E19"/>
    <w:rsid w:val="00B80D40"/>
    <w:rsid w:val="00B84B30"/>
    <w:rsid w:val="00B85E28"/>
    <w:rsid w:val="00B87A82"/>
    <w:rsid w:val="00B909C6"/>
    <w:rsid w:val="00B94F2C"/>
    <w:rsid w:val="00B966BE"/>
    <w:rsid w:val="00B97597"/>
    <w:rsid w:val="00BA017B"/>
    <w:rsid w:val="00BA1C4F"/>
    <w:rsid w:val="00BA5141"/>
    <w:rsid w:val="00BB18EC"/>
    <w:rsid w:val="00BB4293"/>
    <w:rsid w:val="00BB5474"/>
    <w:rsid w:val="00BB5EEA"/>
    <w:rsid w:val="00BC1017"/>
    <w:rsid w:val="00BC1F2D"/>
    <w:rsid w:val="00BC2EC4"/>
    <w:rsid w:val="00BC4871"/>
    <w:rsid w:val="00BD34F0"/>
    <w:rsid w:val="00BD4548"/>
    <w:rsid w:val="00BE0CD7"/>
    <w:rsid w:val="00BE16FD"/>
    <w:rsid w:val="00BE4C4E"/>
    <w:rsid w:val="00BE4DD2"/>
    <w:rsid w:val="00BE6E65"/>
    <w:rsid w:val="00BF09EC"/>
    <w:rsid w:val="00BF1478"/>
    <w:rsid w:val="00BF14E8"/>
    <w:rsid w:val="00BF52E6"/>
    <w:rsid w:val="00BF53A1"/>
    <w:rsid w:val="00BF577F"/>
    <w:rsid w:val="00BF5EB1"/>
    <w:rsid w:val="00C01652"/>
    <w:rsid w:val="00C03DE0"/>
    <w:rsid w:val="00C05631"/>
    <w:rsid w:val="00C06FE2"/>
    <w:rsid w:val="00C110CA"/>
    <w:rsid w:val="00C119ED"/>
    <w:rsid w:val="00C169B4"/>
    <w:rsid w:val="00C3117A"/>
    <w:rsid w:val="00C42DF7"/>
    <w:rsid w:val="00C42FC8"/>
    <w:rsid w:val="00C42FFB"/>
    <w:rsid w:val="00C4756F"/>
    <w:rsid w:val="00C52085"/>
    <w:rsid w:val="00C535FE"/>
    <w:rsid w:val="00C5507E"/>
    <w:rsid w:val="00C57853"/>
    <w:rsid w:val="00C609AC"/>
    <w:rsid w:val="00C6141D"/>
    <w:rsid w:val="00C637BA"/>
    <w:rsid w:val="00C63FC0"/>
    <w:rsid w:val="00C66AD5"/>
    <w:rsid w:val="00C7140D"/>
    <w:rsid w:val="00C718BD"/>
    <w:rsid w:val="00C73653"/>
    <w:rsid w:val="00C858BB"/>
    <w:rsid w:val="00C923A5"/>
    <w:rsid w:val="00CA0E23"/>
    <w:rsid w:val="00CA16CE"/>
    <w:rsid w:val="00CA35D2"/>
    <w:rsid w:val="00CA3CC3"/>
    <w:rsid w:val="00CA5018"/>
    <w:rsid w:val="00CA50EC"/>
    <w:rsid w:val="00CA569D"/>
    <w:rsid w:val="00CA5F9A"/>
    <w:rsid w:val="00CA6F7B"/>
    <w:rsid w:val="00CB50E8"/>
    <w:rsid w:val="00CB5967"/>
    <w:rsid w:val="00CC104A"/>
    <w:rsid w:val="00CC3119"/>
    <w:rsid w:val="00CC4A88"/>
    <w:rsid w:val="00CC5B1D"/>
    <w:rsid w:val="00CD5B2C"/>
    <w:rsid w:val="00CD7C15"/>
    <w:rsid w:val="00CE16AF"/>
    <w:rsid w:val="00CE37F0"/>
    <w:rsid w:val="00CE38BF"/>
    <w:rsid w:val="00CE671A"/>
    <w:rsid w:val="00CF0670"/>
    <w:rsid w:val="00CF1632"/>
    <w:rsid w:val="00CF1FBF"/>
    <w:rsid w:val="00CF2237"/>
    <w:rsid w:val="00CF284F"/>
    <w:rsid w:val="00CF2CB8"/>
    <w:rsid w:val="00CF4F42"/>
    <w:rsid w:val="00CF7762"/>
    <w:rsid w:val="00D00B08"/>
    <w:rsid w:val="00D018B3"/>
    <w:rsid w:val="00D01D48"/>
    <w:rsid w:val="00D039AC"/>
    <w:rsid w:val="00D10476"/>
    <w:rsid w:val="00D14905"/>
    <w:rsid w:val="00D16A12"/>
    <w:rsid w:val="00D177E1"/>
    <w:rsid w:val="00D2169B"/>
    <w:rsid w:val="00D23FFF"/>
    <w:rsid w:val="00D2575C"/>
    <w:rsid w:val="00D26F88"/>
    <w:rsid w:val="00D35E94"/>
    <w:rsid w:val="00D36815"/>
    <w:rsid w:val="00D406ED"/>
    <w:rsid w:val="00D40ECC"/>
    <w:rsid w:val="00D429A6"/>
    <w:rsid w:val="00D448C3"/>
    <w:rsid w:val="00D45D64"/>
    <w:rsid w:val="00D50160"/>
    <w:rsid w:val="00D507B3"/>
    <w:rsid w:val="00D5301A"/>
    <w:rsid w:val="00D55B8D"/>
    <w:rsid w:val="00D57E72"/>
    <w:rsid w:val="00D61D58"/>
    <w:rsid w:val="00D6214F"/>
    <w:rsid w:val="00D62925"/>
    <w:rsid w:val="00D635A0"/>
    <w:rsid w:val="00D6469E"/>
    <w:rsid w:val="00D65F5E"/>
    <w:rsid w:val="00D660AF"/>
    <w:rsid w:val="00D707E8"/>
    <w:rsid w:val="00D761E9"/>
    <w:rsid w:val="00D77F47"/>
    <w:rsid w:val="00D80482"/>
    <w:rsid w:val="00D8221D"/>
    <w:rsid w:val="00D82C01"/>
    <w:rsid w:val="00D85FA4"/>
    <w:rsid w:val="00D86498"/>
    <w:rsid w:val="00D875B7"/>
    <w:rsid w:val="00D91249"/>
    <w:rsid w:val="00D97647"/>
    <w:rsid w:val="00D9768A"/>
    <w:rsid w:val="00D97E26"/>
    <w:rsid w:val="00DA708A"/>
    <w:rsid w:val="00DB3A96"/>
    <w:rsid w:val="00DB4B31"/>
    <w:rsid w:val="00DB7FCB"/>
    <w:rsid w:val="00DC2117"/>
    <w:rsid w:val="00DC21D4"/>
    <w:rsid w:val="00DC56F2"/>
    <w:rsid w:val="00DC7D30"/>
    <w:rsid w:val="00DD0D8E"/>
    <w:rsid w:val="00DD1671"/>
    <w:rsid w:val="00DD4D67"/>
    <w:rsid w:val="00DD6398"/>
    <w:rsid w:val="00DE4F4D"/>
    <w:rsid w:val="00DE5092"/>
    <w:rsid w:val="00DE5469"/>
    <w:rsid w:val="00DE5CB7"/>
    <w:rsid w:val="00DE63AA"/>
    <w:rsid w:val="00DE67A3"/>
    <w:rsid w:val="00DE6FF3"/>
    <w:rsid w:val="00DF29ED"/>
    <w:rsid w:val="00DF4C35"/>
    <w:rsid w:val="00E05C05"/>
    <w:rsid w:val="00E05CDE"/>
    <w:rsid w:val="00E13D6C"/>
    <w:rsid w:val="00E210F0"/>
    <w:rsid w:val="00E245D0"/>
    <w:rsid w:val="00E24E10"/>
    <w:rsid w:val="00E25ACD"/>
    <w:rsid w:val="00E271C2"/>
    <w:rsid w:val="00E3028F"/>
    <w:rsid w:val="00E30D1B"/>
    <w:rsid w:val="00E31760"/>
    <w:rsid w:val="00E362A7"/>
    <w:rsid w:val="00E3784A"/>
    <w:rsid w:val="00E4038F"/>
    <w:rsid w:val="00E4058A"/>
    <w:rsid w:val="00E41AD2"/>
    <w:rsid w:val="00E41DA2"/>
    <w:rsid w:val="00E423E9"/>
    <w:rsid w:val="00E4326D"/>
    <w:rsid w:val="00E46EC5"/>
    <w:rsid w:val="00E4712B"/>
    <w:rsid w:val="00E50CB8"/>
    <w:rsid w:val="00E531B4"/>
    <w:rsid w:val="00E56838"/>
    <w:rsid w:val="00E578E3"/>
    <w:rsid w:val="00E62FF0"/>
    <w:rsid w:val="00E637A4"/>
    <w:rsid w:val="00E73CD0"/>
    <w:rsid w:val="00E744E0"/>
    <w:rsid w:val="00E75793"/>
    <w:rsid w:val="00E76884"/>
    <w:rsid w:val="00E76C8E"/>
    <w:rsid w:val="00E80DA4"/>
    <w:rsid w:val="00E81520"/>
    <w:rsid w:val="00E830DB"/>
    <w:rsid w:val="00E84647"/>
    <w:rsid w:val="00E866ED"/>
    <w:rsid w:val="00E92CE2"/>
    <w:rsid w:val="00E93D5C"/>
    <w:rsid w:val="00E93D9A"/>
    <w:rsid w:val="00EA0832"/>
    <w:rsid w:val="00EA1403"/>
    <w:rsid w:val="00EA3B17"/>
    <w:rsid w:val="00EB236B"/>
    <w:rsid w:val="00EB3CD6"/>
    <w:rsid w:val="00EB4815"/>
    <w:rsid w:val="00EB70A7"/>
    <w:rsid w:val="00EC0265"/>
    <w:rsid w:val="00EC15CA"/>
    <w:rsid w:val="00EC2810"/>
    <w:rsid w:val="00EC2A24"/>
    <w:rsid w:val="00EC2BAC"/>
    <w:rsid w:val="00EC3013"/>
    <w:rsid w:val="00EC4189"/>
    <w:rsid w:val="00EC4831"/>
    <w:rsid w:val="00EC6645"/>
    <w:rsid w:val="00ED07A7"/>
    <w:rsid w:val="00ED3CC6"/>
    <w:rsid w:val="00ED4FF8"/>
    <w:rsid w:val="00ED5F02"/>
    <w:rsid w:val="00ED63E2"/>
    <w:rsid w:val="00ED6613"/>
    <w:rsid w:val="00ED6D81"/>
    <w:rsid w:val="00ED7D40"/>
    <w:rsid w:val="00EE1BA8"/>
    <w:rsid w:val="00EE2AA2"/>
    <w:rsid w:val="00EF08AF"/>
    <w:rsid w:val="00EF3F9F"/>
    <w:rsid w:val="00EF6F07"/>
    <w:rsid w:val="00F014EF"/>
    <w:rsid w:val="00F058A7"/>
    <w:rsid w:val="00F06135"/>
    <w:rsid w:val="00F11903"/>
    <w:rsid w:val="00F174A4"/>
    <w:rsid w:val="00F17B57"/>
    <w:rsid w:val="00F21D07"/>
    <w:rsid w:val="00F23946"/>
    <w:rsid w:val="00F241AC"/>
    <w:rsid w:val="00F249BC"/>
    <w:rsid w:val="00F26530"/>
    <w:rsid w:val="00F26F60"/>
    <w:rsid w:val="00F27C6C"/>
    <w:rsid w:val="00F30EB5"/>
    <w:rsid w:val="00F33321"/>
    <w:rsid w:val="00F337B7"/>
    <w:rsid w:val="00F33C3D"/>
    <w:rsid w:val="00F43B78"/>
    <w:rsid w:val="00F43E42"/>
    <w:rsid w:val="00F43F67"/>
    <w:rsid w:val="00F44F7F"/>
    <w:rsid w:val="00F45161"/>
    <w:rsid w:val="00F464F9"/>
    <w:rsid w:val="00F4696B"/>
    <w:rsid w:val="00F46C61"/>
    <w:rsid w:val="00F47753"/>
    <w:rsid w:val="00F47D28"/>
    <w:rsid w:val="00F510E4"/>
    <w:rsid w:val="00F561F3"/>
    <w:rsid w:val="00F577D8"/>
    <w:rsid w:val="00F60415"/>
    <w:rsid w:val="00F65128"/>
    <w:rsid w:val="00F70900"/>
    <w:rsid w:val="00F80DF8"/>
    <w:rsid w:val="00F80FEE"/>
    <w:rsid w:val="00F815CC"/>
    <w:rsid w:val="00F81BA7"/>
    <w:rsid w:val="00F85476"/>
    <w:rsid w:val="00F905BA"/>
    <w:rsid w:val="00F92AE3"/>
    <w:rsid w:val="00F9696F"/>
    <w:rsid w:val="00F9698D"/>
    <w:rsid w:val="00FA16B8"/>
    <w:rsid w:val="00FA2254"/>
    <w:rsid w:val="00FA7267"/>
    <w:rsid w:val="00FA7FBE"/>
    <w:rsid w:val="00FB385A"/>
    <w:rsid w:val="00FB52B3"/>
    <w:rsid w:val="00FB52C1"/>
    <w:rsid w:val="00FB709B"/>
    <w:rsid w:val="00FC05F1"/>
    <w:rsid w:val="00FC533B"/>
    <w:rsid w:val="00FC6B00"/>
    <w:rsid w:val="00FC7DB7"/>
    <w:rsid w:val="00FD1352"/>
    <w:rsid w:val="00FD209F"/>
    <w:rsid w:val="00FD7CFA"/>
    <w:rsid w:val="00FE2AE7"/>
    <w:rsid w:val="00FE5432"/>
    <w:rsid w:val="00FE6650"/>
    <w:rsid w:val="00FF20CD"/>
    <w:rsid w:val="00FF2B56"/>
    <w:rsid w:val="00FF7C3A"/>
    <w:rsid w:val="00FF7D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A7"/>
    <w:pPr>
      <w:spacing w:line="240" w:lineRule="auto"/>
    </w:pPr>
    <w:rPr>
      <w:rFonts w:ascii="Times New Roman" w:eastAsiaTheme="minorHAnsi" w:hAnsi="Times New Roman" w:cs="Times New Roman"/>
      <w:sz w:val="24"/>
    </w:rPr>
  </w:style>
  <w:style w:type="paragraph" w:styleId="Heading1">
    <w:name w:val="heading 1"/>
    <w:aliases w:val="Char"/>
    <w:basedOn w:val="Normal"/>
    <w:next w:val="firstparagraph"/>
    <w:link w:val="Heading1Char"/>
    <w:uiPriority w:val="9"/>
    <w:qFormat/>
    <w:rsid w:val="004E654A"/>
    <w:pPr>
      <w:keepNext/>
      <w:numPr>
        <w:numId w:val="2"/>
      </w:numPr>
      <w:spacing w:before="120" w:after="540" w:line="360" w:lineRule="auto"/>
      <w:outlineLvl w:val="0"/>
    </w:pPr>
    <w:rPr>
      <w:rFonts w:asciiTheme="majorHAnsi" w:eastAsia="Times New Roman" w:hAnsiTheme="majorHAnsi" w:cs="Arial"/>
      <w:bCs/>
      <w:kern w:val="32"/>
      <w:sz w:val="36"/>
      <w:szCs w:val="36"/>
    </w:rPr>
  </w:style>
  <w:style w:type="paragraph" w:styleId="Heading2">
    <w:name w:val="heading 2"/>
    <w:basedOn w:val="Heading1"/>
    <w:next w:val="firstparagraph"/>
    <w:link w:val="Heading2Char"/>
    <w:qFormat/>
    <w:rsid w:val="004E654A"/>
    <w:pPr>
      <w:numPr>
        <w:ilvl w:val="1"/>
      </w:numPr>
      <w:spacing w:before="600"/>
      <w:ind w:left="1321" w:hanging="964"/>
      <w:outlineLvl w:val="1"/>
    </w:pPr>
    <w:rPr>
      <w:sz w:val="32"/>
      <w:szCs w:val="32"/>
    </w:rPr>
  </w:style>
  <w:style w:type="paragraph" w:styleId="Heading3">
    <w:name w:val="heading 3"/>
    <w:basedOn w:val="Heading1"/>
    <w:next w:val="firstparagraph"/>
    <w:link w:val="Heading3Char"/>
    <w:unhideWhenUsed/>
    <w:qFormat/>
    <w:rsid w:val="004E654A"/>
    <w:pPr>
      <w:numPr>
        <w:ilvl w:val="2"/>
      </w:numPr>
      <w:spacing w:before="600"/>
      <w:outlineLvl w:val="2"/>
    </w:pPr>
    <w:rPr>
      <w:sz w:val="28"/>
      <w:szCs w:val="24"/>
    </w:rPr>
  </w:style>
  <w:style w:type="paragraph" w:styleId="Heading4">
    <w:name w:val="heading 4"/>
    <w:basedOn w:val="Normal"/>
    <w:next w:val="Normal"/>
    <w:link w:val="Heading4Char"/>
    <w:unhideWhenUsed/>
    <w:qFormat/>
    <w:rsid w:val="004E654A"/>
    <w:pPr>
      <w:keepNext/>
      <w:keepLines/>
      <w:spacing w:before="200" w:after="0"/>
      <w:outlineLvl w:val="3"/>
    </w:pPr>
    <w:rPr>
      <w:rFonts w:asciiTheme="majorHAnsi" w:eastAsiaTheme="majorEastAsia" w:hAnsiTheme="majorHAnsi" w:cstheme="majorBidi"/>
      <w:b/>
      <w:bCs/>
      <w:i/>
      <w:iCs/>
      <w:color w:val="4F81BD" w:themeColor="accent1"/>
      <w:szCs w:val="24"/>
    </w:rPr>
  </w:style>
  <w:style w:type="paragraph" w:styleId="Heading5">
    <w:name w:val="heading 5"/>
    <w:basedOn w:val="Heading2"/>
    <w:next w:val="firstparagraph"/>
    <w:link w:val="Heading5Char"/>
    <w:uiPriority w:val="9"/>
    <w:unhideWhenUsed/>
    <w:qFormat/>
    <w:rsid w:val="004E654A"/>
    <w:pPr>
      <w:numPr>
        <w:ilvl w:val="0"/>
        <w:numId w:val="0"/>
      </w:numPr>
      <w:tabs>
        <w:tab w:val="num" w:pos="2160"/>
      </w:tabs>
      <w:spacing w:after="600"/>
      <w:ind w:left="2160" w:hanging="1080"/>
      <w:outlineLvl w:val="4"/>
    </w:pPr>
    <w:rPr>
      <w:sz w:val="22"/>
      <w:szCs w:val="24"/>
    </w:rPr>
  </w:style>
  <w:style w:type="paragraph" w:styleId="Heading6">
    <w:name w:val="heading 6"/>
    <w:basedOn w:val="Normal"/>
    <w:next w:val="Normal"/>
    <w:link w:val="Heading6Char"/>
    <w:uiPriority w:val="9"/>
    <w:unhideWhenUsed/>
    <w:qFormat/>
    <w:rsid w:val="004E654A"/>
    <w:pPr>
      <w:keepNext/>
      <w:keepLines/>
      <w:spacing w:before="200" w:after="0"/>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unhideWhenUsed/>
    <w:qFormat/>
    <w:rsid w:val="004E654A"/>
    <w:pPr>
      <w:keepNext/>
      <w:keepLines/>
      <w:spacing w:before="200" w:after="0"/>
      <w:outlineLvl w:val="6"/>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Indent1"/>
    <w:link w:val="firstparagraphChar"/>
    <w:qFormat/>
    <w:rsid w:val="002879EE"/>
  </w:style>
  <w:style w:type="paragraph" w:customStyle="1" w:styleId="NormalIndent1">
    <w:name w:val="Normal Indent1"/>
    <w:basedOn w:val="Normal"/>
    <w:link w:val="normalindentChar"/>
    <w:qFormat/>
    <w:rsid w:val="002879EE"/>
  </w:style>
  <w:style w:type="character" w:customStyle="1" w:styleId="normalindentChar">
    <w:name w:val="normal indent Char"/>
    <w:basedOn w:val="DefaultParagraphFont"/>
    <w:link w:val="NormalIndent1"/>
    <w:rsid w:val="002879EE"/>
    <w:rPr>
      <w:rFonts w:ascii="Times New Roman" w:eastAsiaTheme="minorHAnsi" w:hAnsi="Times New Roman"/>
      <w:sz w:val="24"/>
    </w:rPr>
  </w:style>
  <w:style w:type="character" w:customStyle="1" w:styleId="firstparagraphChar">
    <w:name w:val="first paragraph Char"/>
    <w:basedOn w:val="DefaultParagraphFont"/>
    <w:link w:val="firstparagraph"/>
    <w:rsid w:val="002879EE"/>
    <w:rPr>
      <w:rFonts w:ascii="Times New Roman" w:hAnsi="Times New Roman"/>
      <w:sz w:val="24"/>
    </w:rPr>
  </w:style>
  <w:style w:type="character" w:customStyle="1" w:styleId="Heading1Char">
    <w:name w:val="Heading 1 Char"/>
    <w:aliases w:val="Char Char"/>
    <w:basedOn w:val="DefaultParagraphFont"/>
    <w:link w:val="Heading1"/>
    <w:uiPriority w:val="9"/>
    <w:rsid w:val="004E654A"/>
    <w:rPr>
      <w:rFonts w:asciiTheme="majorHAnsi" w:eastAsia="Times New Roman" w:hAnsiTheme="majorHAnsi" w:cs="Arial"/>
      <w:bCs/>
      <w:kern w:val="32"/>
      <w:sz w:val="36"/>
      <w:szCs w:val="36"/>
    </w:rPr>
  </w:style>
  <w:style w:type="character" w:customStyle="1" w:styleId="Heading2Char">
    <w:name w:val="Heading 2 Char"/>
    <w:basedOn w:val="DefaultParagraphFont"/>
    <w:link w:val="Heading2"/>
    <w:rsid w:val="004E654A"/>
    <w:rPr>
      <w:rFonts w:asciiTheme="majorHAnsi" w:eastAsia="Times New Roman" w:hAnsiTheme="majorHAnsi" w:cs="Arial"/>
      <w:bCs/>
      <w:kern w:val="32"/>
      <w:sz w:val="32"/>
      <w:szCs w:val="32"/>
    </w:rPr>
  </w:style>
  <w:style w:type="character" w:customStyle="1" w:styleId="Heading3Char">
    <w:name w:val="Heading 3 Char"/>
    <w:basedOn w:val="DefaultParagraphFont"/>
    <w:link w:val="Heading3"/>
    <w:rsid w:val="004E654A"/>
    <w:rPr>
      <w:rFonts w:asciiTheme="majorHAnsi" w:eastAsia="Times New Roman" w:hAnsiTheme="majorHAnsi" w:cs="Arial"/>
      <w:bCs/>
      <w:kern w:val="32"/>
      <w:sz w:val="28"/>
      <w:szCs w:val="24"/>
    </w:rPr>
  </w:style>
  <w:style w:type="character" w:customStyle="1" w:styleId="Heading4Char">
    <w:name w:val="Heading 4 Char"/>
    <w:basedOn w:val="DefaultParagraphFont"/>
    <w:link w:val="Heading4"/>
    <w:rsid w:val="004E654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4E654A"/>
    <w:rPr>
      <w:rFonts w:asciiTheme="majorHAnsi" w:eastAsia="Times New Roman" w:hAnsiTheme="majorHAnsi" w:cs="Arial"/>
      <w:bCs/>
      <w:kern w:val="32"/>
      <w:szCs w:val="24"/>
    </w:rPr>
  </w:style>
  <w:style w:type="character" w:customStyle="1" w:styleId="Heading6Char">
    <w:name w:val="Heading 6 Char"/>
    <w:basedOn w:val="DefaultParagraphFont"/>
    <w:link w:val="Heading6"/>
    <w:uiPriority w:val="9"/>
    <w:rsid w:val="004E654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4E654A"/>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FD7CFA"/>
    <w:pPr>
      <w:ind w:left="720"/>
      <w:contextualSpacing/>
    </w:pPr>
  </w:style>
  <w:style w:type="paragraph" w:styleId="NoSpacing">
    <w:name w:val="No Spacing"/>
    <w:link w:val="NoSpacingChar"/>
    <w:uiPriority w:val="1"/>
    <w:qFormat/>
    <w:rsid w:val="004E654A"/>
    <w:pPr>
      <w:spacing w:after="0" w:line="240" w:lineRule="auto"/>
    </w:pPr>
  </w:style>
  <w:style w:type="character" w:customStyle="1" w:styleId="NoSpacingChar">
    <w:name w:val="No Spacing Char"/>
    <w:basedOn w:val="DefaultParagraphFont"/>
    <w:link w:val="NoSpacing"/>
    <w:uiPriority w:val="1"/>
    <w:rsid w:val="004E654A"/>
  </w:style>
  <w:style w:type="paragraph" w:styleId="BalloonText">
    <w:name w:val="Balloon Text"/>
    <w:basedOn w:val="Normal"/>
    <w:link w:val="BalloonTextChar"/>
    <w:semiHidden/>
    <w:unhideWhenUsed/>
    <w:rsid w:val="004E654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E654A"/>
    <w:rPr>
      <w:rFonts w:ascii="Tahoma" w:hAnsi="Tahoma" w:cs="Tahoma"/>
      <w:sz w:val="16"/>
      <w:szCs w:val="16"/>
    </w:rPr>
  </w:style>
  <w:style w:type="paragraph" w:styleId="Bibliography">
    <w:name w:val="Bibliography"/>
    <w:basedOn w:val="Normal"/>
    <w:next w:val="Normal"/>
    <w:uiPriority w:val="37"/>
    <w:unhideWhenUsed/>
    <w:rsid w:val="004E654A"/>
  </w:style>
  <w:style w:type="character" w:customStyle="1" w:styleId="CommentTextChar">
    <w:name w:val="Comment Text Char"/>
    <w:basedOn w:val="DefaultParagraphFont"/>
    <w:link w:val="CommentText"/>
    <w:semiHidden/>
    <w:rsid w:val="004E654A"/>
    <w:rPr>
      <w:rFonts w:ascii="Arial" w:eastAsia="Times New Roman" w:hAnsi="Arial" w:cs="Times New Roman"/>
      <w:sz w:val="20"/>
      <w:szCs w:val="20"/>
    </w:rPr>
  </w:style>
  <w:style w:type="paragraph" w:styleId="CommentText">
    <w:name w:val="annotation text"/>
    <w:basedOn w:val="Normal"/>
    <w:link w:val="CommentTextChar"/>
    <w:semiHidden/>
    <w:rsid w:val="004E654A"/>
    <w:pPr>
      <w:spacing w:after="0"/>
    </w:pPr>
    <w:rPr>
      <w:rFonts w:ascii="Arial" w:eastAsia="Times New Roman" w:hAnsi="Arial"/>
      <w:sz w:val="20"/>
      <w:szCs w:val="20"/>
    </w:rPr>
  </w:style>
  <w:style w:type="paragraph" w:styleId="FootnoteText">
    <w:name w:val="footnote text"/>
    <w:basedOn w:val="Normal"/>
    <w:link w:val="FootnoteTextChar"/>
    <w:uiPriority w:val="99"/>
    <w:unhideWhenUsed/>
    <w:rsid w:val="004E654A"/>
    <w:pPr>
      <w:spacing w:after="0"/>
    </w:pPr>
    <w:rPr>
      <w:sz w:val="20"/>
      <w:szCs w:val="20"/>
    </w:rPr>
  </w:style>
  <w:style w:type="character" w:customStyle="1" w:styleId="FootnoteTextChar">
    <w:name w:val="Footnote Text Char"/>
    <w:basedOn w:val="DefaultParagraphFont"/>
    <w:link w:val="FootnoteText"/>
    <w:uiPriority w:val="99"/>
    <w:rsid w:val="004E654A"/>
    <w:rPr>
      <w:sz w:val="20"/>
      <w:szCs w:val="20"/>
    </w:rPr>
  </w:style>
  <w:style w:type="character" w:styleId="FootnoteReference">
    <w:name w:val="footnote reference"/>
    <w:basedOn w:val="DefaultParagraphFont"/>
    <w:uiPriority w:val="99"/>
    <w:semiHidden/>
    <w:unhideWhenUsed/>
    <w:rsid w:val="004E654A"/>
    <w:rPr>
      <w:vertAlign w:val="superscript"/>
    </w:rPr>
  </w:style>
  <w:style w:type="paragraph" w:styleId="Caption">
    <w:name w:val="caption"/>
    <w:basedOn w:val="Normal"/>
    <w:next w:val="Normal"/>
    <w:unhideWhenUsed/>
    <w:qFormat/>
    <w:rsid w:val="00B60668"/>
    <w:rPr>
      <w:b/>
      <w:bCs/>
      <w:szCs w:val="18"/>
    </w:rPr>
  </w:style>
  <w:style w:type="paragraph" w:styleId="ListBullet">
    <w:name w:val="List Bullet"/>
    <w:basedOn w:val="Normal"/>
    <w:uiPriority w:val="99"/>
    <w:unhideWhenUsed/>
    <w:rsid w:val="004E654A"/>
    <w:pPr>
      <w:numPr>
        <w:numId w:val="3"/>
      </w:numPr>
      <w:contextualSpacing/>
    </w:pPr>
  </w:style>
  <w:style w:type="paragraph" w:styleId="TOCHeading">
    <w:name w:val="TOC Heading"/>
    <w:basedOn w:val="Heading1"/>
    <w:next w:val="Normal"/>
    <w:uiPriority w:val="39"/>
    <w:unhideWhenUsed/>
    <w:qFormat/>
    <w:rsid w:val="004E654A"/>
    <w:pPr>
      <w:keepLines/>
      <w:numPr>
        <w:numId w:val="0"/>
      </w:numPr>
      <w:spacing w:before="480" w:after="0" w:line="276" w:lineRule="auto"/>
      <w:outlineLvl w:val="9"/>
    </w:pPr>
    <w:rPr>
      <w:rFonts w:eastAsiaTheme="majorEastAsia" w:cstheme="majorBidi"/>
      <w:color w:val="365F91" w:themeColor="accent1" w:themeShade="BF"/>
      <w:kern w:val="0"/>
      <w:sz w:val="28"/>
      <w:szCs w:val="28"/>
      <w:lang w:val="en-US"/>
    </w:rPr>
  </w:style>
  <w:style w:type="paragraph" w:styleId="TOC1">
    <w:name w:val="toc 1"/>
    <w:basedOn w:val="Normal"/>
    <w:next w:val="Normal"/>
    <w:autoRedefine/>
    <w:uiPriority w:val="39"/>
    <w:unhideWhenUsed/>
    <w:qFormat/>
    <w:rsid w:val="004E654A"/>
    <w:pPr>
      <w:tabs>
        <w:tab w:val="left" w:pos="442"/>
        <w:tab w:val="right" w:leader="dot" w:pos="7371"/>
      </w:tabs>
      <w:spacing w:after="100"/>
    </w:pPr>
  </w:style>
  <w:style w:type="character" w:styleId="Hyperlink">
    <w:name w:val="Hyperlink"/>
    <w:basedOn w:val="DefaultParagraphFont"/>
    <w:uiPriority w:val="99"/>
    <w:unhideWhenUsed/>
    <w:rsid w:val="004E654A"/>
    <w:rPr>
      <w:color w:val="0000FF" w:themeColor="hyperlink"/>
      <w:u w:val="single"/>
    </w:rPr>
  </w:style>
  <w:style w:type="paragraph" w:styleId="TOC2">
    <w:name w:val="toc 2"/>
    <w:basedOn w:val="Normal"/>
    <w:next w:val="Normal"/>
    <w:autoRedefine/>
    <w:uiPriority w:val="39"/>
    <w:unhideWhenUsed/>
    <w:qFormat/>
    <w:rsid w:val="004E654A"/>
    <w:pPr>
      <w:tabs>
        <w:tab w:val="left" w:pos="880"/>
        <w:tab w:val="right" w:leader="dot" w:pos="7288"/>
      </w:tabs>
      <w:spacing w:after="100"/>
      <w:ind w:left="220"/>
    </w:pPr>
  </w:style>
  <w:style w:type="character" w:customStyle="1" w:styleId="HeaderChar">
    <w:name w:val="Header Char"/>
    <w:basedOn w:val="DefaultParagraphFont"/>
    <w:link w:val="Header"/>
    <w:uiPriority w:val="99"/>
    <w:semiHidden/>
    <w:rsid w:val="004E654A"/>
    <w:rPr>
      <w:sz w:val="24"/>
    </w:rPr>
  </w:style>
  <w:style w:type="paragraph" w:styleId="Header">
    <w:name w:val="header"/>
    <w:basedOn w:val="Normal"/>
    <w:link w:val="HeaderChar"/>
    <w:uiPriority w:val="99"/>
    <w:semiHidden/>
    <w:unhideWhenUsed/>
    <w:rsid w:val="004E654A"/>
    <w:pPr>
      <w:tabs>
        <w:tab w:val="center" w:pos="4513"/>
        <w:tab w:val="right" w:pos="9026"/>
      </w:tabs>
      <w:spacing w:after="0"/>
    </w:pPr>
  </w:style>
  <w:style w:type="paragraph" w:styleId="Footer">
    <w:name w:val="footer"/>
    <w:basedOn w:val="Normal"/>
    <w:link w:val="FooterChar"/>
    <w:uiPriority w:val="99"/>
    <w:unhideWhenUsed/>
    <w:rsid w:val="004E654A"/>
    <w:pPr>
      <w:tabs>
        <w:tab w:val="center" w:pos="4513"/>
        <w:tab w:val="right" w:pos="9026"/>
      </w:tabs>
      <w:spacing w:after="0"/>
    </w:pPr>
  </w:style>
  <w:style w:type="character" w:customStyle="1" w:styleId="FooterChar">
    <w:name w:val="Footer Char"/>
    <w:basedOn w:val="DefaultParagraphFont"/>
    <w:link w:val="Footer"/>
    <w:uiPriority w:val="99"/>
    <w:rsid w:val="004E654A"/>
    <w:rPr>
      <w:sz w:val="24"/>
    </w:rPr>
  </w:style>
  <w:style w:type="character" w:customStyle="1" w:styleId="CommentSubjectChar">
    <w:name w:val="Comment Subject Char"/>
    <w:basedOn w:val="CommentTextChar"/>
    <w:link w:val="CommentSubject"/>
    <w:semiHidden/>
    <w:rsid w:val="004E654A"/>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rsid w:val="004E654A"/>
    <w:rPr>
      <w:b/>
      <w:bCs/>
    </w:rPr>
  </w:style>
  <w:style w:type="paragraph" w:styleId="TOC3">
    <w:name w:val="toc 3"/>
    <w:basedOn w:val="Normal"/>
    <w:next w:val="Normal"/>
    <w:autoRedefine/>
    <w:uiPriority w:val="39"/>
    <w:qFormat/>
    <w:rsid w:val="004E654A"/>
    <w:pPr>
      <w:spacing w:after="100"/>
      <w:ind w:left="442"/>
    </w:pPr>
    <w:rPr>
      <w:rFonts w:eastAsia="Times New Roman"/>
      <w:szCs w:val="24"/>
    </w:rPr>
  </w:style>
  <w:style w:type="paragraph" w:customStyle="1" w:styleId="Default">
    <w:name w:val="Default"/>
    <w:rsid w:val="004E654A"/>
    <w:pPr>
      <w:autoSpaceDE w:val="0"/>
      <w:autoSpaceDN w:val="0"/>
      <w:adjustRightInd w:val="0"/>
      <w:spacing w:after="0" w:line="240" w:lineRule="auto"/>
    </w:pPr>
    <w:rPr>
      <w:rFonts w:ascii="Tahoma" w:eastAsia="Times New Roman" w:hAnsi="Tahoma" w:cs="Tahoma"/>
      <w:color w:val="000000"/>
      <w:sz w:val="24"/>
      <w:szCs w:val="24"/>
    </w:rPr>
  </w:style>
  <w:style w:type="paragraph" w:styleId="NormalWeb">
    <w:name w:val="Normal (Web)"/>
    <w:basedOn w:val="Normal"/>
    <w:rsid w:val="004E654A"/>
    <w:pPr>
      <w:spacing w:before="100" w:beforeAutospacing="1" w:after="100" w:afterAutospacing="1"/>
    </w:pPr>
    <w:rPr>
      <w:rFonts w:eastAsia="Times New Roman"/>
      <w:szCs w:val="24"/>
      <w:lang w:val="en-US"/>
    </w:rPr>
  </w:style>
  <w:style w:type="paragraph" w:styleId="TableofFigures">
    <w:name w:val="table of figures"/>
    <w:basedOn w:val="Normal"/>
    <w:next w:val="Normal"/>
    <w:uiPriority w:val="99"/>
    <w:unhideWhenUsed/>
    <w:rsid w:val="004E654A"/>
    <w:pPr>
      <w:spacing w:after="100"/>
    </w:pPr>
    <w:rPr>
      <w:rFonts w:eastAsia="Times New Roman"/>
      <w:szCs w:val="24"/>
    </w:rPr>
  </w:style>
  <w:style w:type="paragraph" w:styleId="Title">
    <w:name w:val="Title"/>
    <w:basedOn w:val="Normal"/>
    <w:next w:val="Normal"/>
    <w:link w:val="TitleChar"/>
    <w:uiPriority w:val="10"/>
    <w:qFormat/>
    <w:rsid w:val="004E654A"/>
    <w:pPr>
      <w:pBdr>
        <w:bottom w:val="single" w:sz="8" w:space="4" w:color="4F81BD" w:themeColor="accent1"/>
      </w:pBdr>
      <w:spacing w:after="600"/>
      <w:contextualSpacing/>
    </w:pPr>
    <w:rPr>
      <w:rFonts w:asciiTheme="majorHAnsi" w:eastAsiaTheme="majorEastAsia" w:hAnsiTheme="majorHAnsi" w:cstheme="majorBidi"/>
      <w:color w:val="17365D" w:themeColor="text2" w:themeShade="BF"/>
      <w:spacing w:val="5"/>
      <w:kern w:val="28"/>
      <w:sz w:val="36"/>
      <w:szCs w:val="32"/>
    </w:rPr>
  </w:style>
  <w:style w:type="character" w:customStyle="1" w:styleId="TitleChar">
    <w:name w:val="Title Char"/>
    <w:basedOn w:val="DefaultParagraphFont"/>
    <w:link w:val="Title"/>
    <w:uiPriority w:val="10"/>
    <w:rsid w:val="004E654A"/>
    <w:rPr>
      <w:rFonts w:asciiTheme="majorHAnsi" w:eastAsiaTheme="majorEastAsia" w:hAnsiTheme="majorHAnsi" w:cstheme="majorBidi"/>
      <w:color w:val="17365D" w:themeColor="text2" w:themeShade="BF"/>
      <w:spacing w:val="5"/>
      <w:kern w:val="28"/>
      <w:sz w:val="36"/>
      <w:szCs w:val="32"/>
    </w:rPr>
  </w:style>
  <w:style w:type="paragraph" w:customStyle="1" w:styleId="REFCaption">
    <w:name w:val="REF Caption"/>
    <w:basedOn w:val="Heading4"/>
    <w:next w:val="Normal"/>
    <w:rsid w:val="004E654A"/>
    <w:pPr>
      <w:keepLines w:val="0"/>
      <w:numPr>
        <w:ilvl w:val="3"/>
      </w:numPr>
      <w:tabs>
        <w:tab w:val="num" w:pos="2520"/>
      </w:tabs>
      <w:spacing w:before="0"/>
      <w:ind w:left="1440" w:hanging="1440"/>
      <w:jc w:val="center"/>
    </w:pPr>
    <w:rPr>
      <w:rFonts w:ascii="Arial" w:eastAsia="Times New Roman" w:hAnsi="Arial" w:cs="Times New Roman"/>
      <w:bCs w:val="0"/>
      <w:i w:val="0"/>
      <w:iCs w:val="0"/>
      <w:color w:val="auto"/>
      <w:sz w:val="20"/>
      <w:szCs w:val="20"/>
      <w:lang w:val="en-GB"/>
    </w:rPr>
  </w:style>
  <w:style w:type="character" w:styleId="CommentReference">
    <w:name w:val="annotation reference"/>
    <w:basedOn w:val="DefaultParagraphFont"/>
    <w:semiHidden/>
    <w:unhideWhenUsed/>
    <w:rsid w:val="00654216"/>
    <w:rPr>
      <w:sz w:val="16"/>
      <w:szCs w:val="16"/>
    </w:rPr>
  </w:style>
  <w:style w:type="character" w:styleId="PlaceholderText">
    <w:name w:val="Placeholder Text"/>
    <w:basedOn w:val="DefaultParagraphFont"/>
    <w:uiPriority w:val="99"/>
    <w:semiHidden/>
    <w:rsid w:val="00C03DE0"/>
    <w:rPr>
      <w:color w:val="808080"/>
    </w:rPr>
  </w:style>
  <w:style w:type="table" w:styleId="TableGrid">
    <w:name w:val="Table Grid"/>
    <w:basedOn w:val="TableNormal"/>
    <w:rsid w:val="00BE4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B45D3"/>
  </w:style>
  <w:style w:type="paragraph" w:customStyle="1" w:styleId="ASSAHeading1">
    <w:name w:val="ASSA Heading 1"/>
    <w:basedOn w:val="Normal"/>
    <w:rsid w:val="00E56838"/>
    <w:pPr>
      <w:keepNext/>
      <w:numPr>
        <w:numId w:val="17"/>
      </w:numPr>
      <w:spacing w:after="0"/>
      <w:jc w:val="center"/>
      <w:outlineLvl w:val="0"/>
    </w:pPr>
    <w:rPr>
      <w:rFonts w:eastAsia="Times New Roman"/>
      <w:smallCaps/>
      <w:kern w:val="28"/>
      <w:szCs w:val="20"/>
      <w:lang w:val="en-GB" w:eastAsia="en-US"/>
    </w:rPr>
  </w:style>
  <w:style w:type="paragraph" w:customStyle="1" w:styleId="ASSAParagraph">
    <w:name w:val="ASSA Paragraph"/>
    <w:basedOn w:val="Normal"/>
    <w:rsid w:val="00E56838"/>
    <w:pPr>
      <w:numPr>
        <w:ilvl w:val="2"/>
        <w:numId w:val="17"/>
      </w:numPr>
      <w:tabs>
        <w:tab w:val="left" w:pos="2552"/>
        <w:tab w:val="left" w:pos="3402"/>
      </w:tabs>
      <w:spacing w:after="0"/>
      <w:outlineLvl w:val="2"/>
    </w:pPr>
    <w:rPr>
      <w:rFonts w:eastAsia="Times New Roman"/>
      <w:szCs w:val="20"/>
      <w:lang w:val="en-GB" w:eastAsia="en-US"/>
    </w:rPr>
  </w:style>
  <w:style w:type="paragraph" w:styleId="EndnoteText">
    <w:name w:val="endnote text"/>
    <w:basedOn w:val="Normal"/>
    <w:link w:val="EndnoteTextChar"/>
    <w:uiPriority w:val="99"/>
    <w:semiHidden/>
    <w:unhideWhenUsed/>
    <w:rsid w:val="00B7328D"/>
    <w:pPr>
      <w:spacing w:after="0"/>
    </w:pPr>
    <w:rPr>
      <w:sz w:val="20"/>
      <w:szCs w:val="20"/>
    </w:rPr>
  </w:style>
  <w:style w:type="character" w:customStyle="1" w:styleId="EndnoteTextChar">
    <w:name w:val="Endnote Text Char"/>
    <w:basedOn w:val="DefaultParagraphFont"/>
    <w:link w:val="EndnoteText"/>
    <w:uiPriority w:val="99"/>
    <w:semiHidden/>
    <w:rsid w:val="00B7328D"/>
    <w:rPr>
      <w:rFonts w:ascii="Times New Roman" w:hAnsi="Times New Roman"/>
      <w:sz w:val="20"/>
      <w:szCs w:val="20"/>
    </w:rPr>
  </w:style>
  <w:style w:type="character" w:styleId="EndnoteReference">
    <w:name w:val="endnote reference"/>
    <w:basedOn w:val="DefaultParagraphFont"/>
    <w:uiPriority w:val="99"/>
    <w:semiHidden/>
    <w:unhideWhenUsed/>
    <w:rsid w:val="00B7328D"/>
    <w:rPr>
      <w:vertAlign w:val="superscript"/>
    </w:rPr>
  </w:style>
  <w:style w:type="paragraph" w:customStyle="1" w:styleId="BodyText-Elegant">
    <w:name w:val="Body Text - Elegant"/>
    <w:basedOn w:val="Normal"/>
    <w:rsid w:val="005914FE"/>
    <w:pPr>
      <w:spacing w:after="120" w:line="280" w:lineRule="exact"/>
    </w:pPr>
    <w:rPr>
      <w:rFonts w:ascii="Garamond" w:eastAsia="Times New Roman" w:hAnsi="Garamond"/>
      <w:sz w:val="20"/>
      <w:szCs w:val="20"/>
      <w:lang w:val="en-US" w:eastAsia="en-US"/>
    </w:rPr>
  </w:style>
  <w:style w:type="paragraph" w:customStyle="1" w:styleId="abstract">
    <w:name w:val="abstract"/>
    <w:uiPriority w:val="99"/>
    <w:rsid w:val="0067601A"/>
    <w:pPr>
      <w:widowControl w:val="0"/>
      <w:autoSpaceDE w:val="0"/>
      <w:autoSpaceDN w:val="0"/>
      <w:adjustRightInd w:val="0"/>
      <w:spacing w:after="0" w:line="280" w:lineRule="atLeast"/>
      <w:jc w:val="both"/>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2C10F3"/>
    <w:rPr>
      <w:i/>
      <w:iCs/>
    </w:rPr>
  </w:style>
  <w:style w:type="table" w:styleId="LightShading-Accent5">
    <w:name w:val="Light Shading Accent 5"/>
    <w:basedOn w:val="TableNormal"/>
    <w:uiPriority w:val="60"/>
    <w:rsid w:val="00D97E2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D97E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D97E2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D97E2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ody1">
    <w:name w:val="Body 1"/>
    <w:rsid w:val="007B57B1"/>
    <w:pPr>
      <w:outlineLvl w:val="0"/>
    </w:pPr>
    <w:rPr>
      <w:rFonts w:ascii="Helvetica" w:eastAsia="Arial Unicode MS" w:hAnsi="Helvetica" w:cs="Times New Roman"/>
      <w:color w:val="00000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29690">
      <w:bodyDiv w:val="1"/>
      <w:marLeft w:val="0"/>
      <w:marRight w:val="0"/>
      <w:marTop w:val="0"/>
      <w:marBottom w:val="0"/>
      <w:divBdr>
        <w:top w:val="none" w:sz="0" w:space="0" w:color="auto"/>
        <w:left w:val="none" w:sz="0" w:space="0" w:color="auto"/>
        <w:bottom w:val="none" w:sz="0" w:space="0" w:color="auto"/>
        <w:right w:val="none" w:sz="0" w:space="0" w:color="auto"/>
      </w:divBdr>
    </w:div>
    <w:div w:id="318003492">
      <w:bodyDiv w:val="1"/>
      <w:marLeft w:val="0"/>
      <w:marRight w:val="0"/>
      <w:marTop w:val="0"/>
      <w:marBottom w:val="0"/>
      <w:divBdr>
        <w:top w:val="none" w:sz="0" w:space="0" w:color="auto"/>
        <w:left w:val="none" w:sz="0" w:space="0" w:color="auto"/>
        <w:bottom w:val="none" w:sz="0" w:space="0" w:color="auto"/>
        <w:right w:val="none" w:sz="0" w:space="0" w:color="auto"/>
      </w:divBdr>
    </w:div>
    <w:div w:id="475267723">
      <w:bodyDiv w:val="1"/>
      <w:marLeft w:val="0"/>
      <w:marRight w:val="0"/>
      <w:marTop w:val="0"/>
      <w:marBottom w:val="0"/>
      <w:divBdr>
        <w:top w:val="none" w:sz="0" w:space="0" w:color="auto"/>
        <w:left w:val="none" w:sz="0" w:space="0" w:color="auto"/>
        <w:bottom w:val="none" w:sz="0" w:space="0" w:color="auto"/>
        <w:right w:val="none" w:sz="0" w:space="0" w:color="auto"/>
      </w:divBdr>
    </w:div>
    <w:div w:id="745303873">
      <w:bodyDiv w:val="1"/>
      <w:marLeft w:val="0"/>
      <w:marRight w:val="0"/>
      <w:marTop w:val="0"/>
      <w:marBottom w:val="0"/>
      <w:divBdr>
        <w:top w:val="none" w:sz="0" w:space="0" w:color="auto"/>
        <w:left w:val="none" w:sz="0" w:space="0" w:color="auto"/>
        <w:bottom w:val="none" w:sz="0" w:space="0" w:color="auto"/>
        <w:right w:val="none" w:sz="0" w:space="0" w:color="auto"/>
      </w:divBdr>
    </w:div>
    <w:div w:id="1031421607">
      <w:bodyDiv w:val="1"/>
      <w:marLeft w:val="0"/>
      <w:marRight w:val="0"/>
      <w:marTop w:val="0"/>
      <w:marBottom w:val="0"/>
      <w:divBdr>
        <w:top w:val="none" w:sz="0" w:space="0" w:color="auto"/>
        <w:left w:val="none" w:sz="0" w:space="0" w:color="auto"/>
        <w:bottom w:val="none" w:sz="0" w:space="0" w:color="auto"/>
        <w:right w:val="none" w:sz="0" w:space="0" w:color="auto"/>
      </w:divBdr>
    </w:div>
    <w:div w:id="1087845534">
      <w:bodyDiv w:val="1"/>
      <w:marLeft w:val="0"/>
      <w:marRight w:val="0"/>
      <w:marTop w:val="0"/>
      <w:marBottom w:val="0"/>
      <w:divBdr>
        <w:top w:val="none" w:sz="0" w:space="0" w:color="auto"/>
        <w:left w:val="none" w:sz="0" w:space="0" w:color="auto"/>
        <w:bottom w:val="none" w:sz="0" w:space="0" w:color="auto"/>
        <w:right w:val="none" w:sz="0" w:space="0" w:color="auto"/>
      </w:divBdr>
    </w:div>
    <w:div w:id="1217469146">
      <w:bodyDiv w:val="1"/>
      <w:marLeft w:val="0"/>
      <w:marRight w:val="0"/>
      <w:marTop w:val="0"/>
      <w:marBottom w:val="0"/>
      <w:divBdr>
        <w:top w:val="none" w:sz="0" w:space="0" w:color="auto"/>
        <w:left w:val="none" w:sz="0" w:space="0" w:color="auto"/>
        <w:bottom w:val="none" w:sz="0" w:space="0" w:color="auto"/>
        <w:right w:val="none" w:sz="0" w:space="0" w:color="auto"/>
      </w:divBdr>
    </w:div>
    <w:div w:id="1473326246">
      <w:bodyDiv w:val="1"/>
      <w:marLeft w:val="0"/>
      <w:marRight w:val="0"/>
      <w:marTop w:val="0"/>
      <w:marBottom w:val="0"/>
      <w:divBdr>
        <w:top w:val="none" w:sz="0" w:space="0" w:color="auto"/>
        <w:left w:val="none" w:sz="0" w:space="0" w:color="auto"/>
        <w:bottom w:val="none" w:sz="0" w:space="0" w:color="auto"/>
        <w:right w:val="none" w:sz="0" w:space="0" w:color="auto"/>
      </w:divBdr>
    </w:div>
    <w:div w:id="1494181936">
      <w:bodyDiv w:val="1"/>
      <w:marLeft w:val="0"/>
      <w:marRight w:val="0"/>
      <w:marTop w:val="0"/>
      <w:marBottom w:val="0"/>
      <w:divBdr>
        <w:top w:val="none" w:sz="0" w:space="0" w:color="auto"/>
        <w:left w:val="none" w:sz="0" w:space="0" w:color="auto"/>
        <w:bottom w:val="none" w:sz="0" w:space="0" w:color="auto"/>
        <w:right w:val="none" w:sz="0" w:space="0" w:color="auto"/>
      </w:divBdr>
    </w:div>
    <w:div w:id="1496996669">
      <w:bodyDiv w:val="1"/>
      <w:marLeft w:val="0"/>
      <w:marRight w:val="0"/>
      <w:marTop w:val="0"/>
      <w:marBottom w:val="0"/>
      <w:divBdr>
        <w:top w:val="none" w:sz="0" w:space="0" w:color="auto"/>
        <w:left w:val="none" w:sz="0" w:space="0" w:color="auto"/>
        <w:bottom w:val="none" w:sz="0" w:space="0" w:color="auto"/>
        <w:right w:val="none" w:sz="0" w:space="0" w:color="auto"/>
      </w:divBdr>
    </w:div>
    <w:div w:id="1587686363">
      <w:bodyDiv w:val="1"/>
      <w:marLeft w:val="0"/>
      <w:marRight w:val="0"/>
      <w:marTop w:val="0"/>
      <w:marBottom w:val="0"/>
      <w:divBdr>
        <w:top w:val="none" w:sz="0" w:space="0" w:color="auto"/>
        <w:left w:val="none" w:sz="0" w:space="0" w:color="auto"/>
        <w:bottom w:val="none" w:sz="0" w:space="0" w:color="auto"/>
        <w:right w:val="none" w:sz="0" w:space="0" w:color="auto"/>
      </w:divBdr>
    </w:div>
    <w:div w:id="1766265825">
      <w:bodyDiv w:val="1"/>
      <w:marLeft w:val="0"/>
      <w:marRight w:val="0"/>
      <w:marTop w:val="0"/>
      <w:marBottom w:val="0"/>
      <w:divBdr>
        <w:top w:val="none" w:sz="0" w:space="0" w:color="auto"/>
        <w:left w:val="none" w:sz="0" w:space="0" w:color="auto"/>
        <w:bottom w:val="none" w:sz="0" w:space="0" w:color="auto"/>
        <w:right w:val="none" w:sz="0" w:space="0" w:color="auto"/>
      </w:divBdr>
    </w:div>
    <w:div w:id="1936668083">
      <w:bodyDiv w:val="1"/>
      <w:marLeft w:val="0"/>
      <w:marRight w:val="0"/>
      <w:marTop w:val="0"/>
      <w:marBottom w:val="0"/>
      <w:divBdr>
        <w:top w:val="none" w:sz="0" w:space="0" w:color="auto"/>
        <w:left w:val="none" w:sz="0" w:space="0" w:color="auto"/>
        <w:bottom w:val="none" w:sz="0" w:space="0" w:color="auto"/>
        <w:right w:val="none" w:sz="0" w:space="0" w:color="auto"/>
      </w:divBdr>
    </w:div>
    <w:div w:id="1987317796">
      <w:bodyDiv w:val="1"/>
      <w:marLeft w:val="0"/>
      <w:marRight w:val="0"/>
      <w:marTop w:val="0"/>
      <w:marBottom w:val="0"/>
      <w:divBdr>
        <w:top w:val="none" w:sz="0" w:space="0" w:color="auto"/>
        <w:left w:val="none" w:sz="0" w:space="0" w:color="auto"/>
        <w:bottom w:val="none" w:sz="0" w:space="0" w:color="auto"/>
        <w:right w:val="none" w:sz="0" w:space="0" w:color="auto"/>
      </w:divBdr>
    </w:div>
    <w:div w:id="20796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medscheme.com/about-us" TargetMode="External"/><Relationship Id="rId2" Type="http://schemas.openxmlformats.org/officeDocument/2006/relationships/numbering" Target="numbering.xml"/><Relationship Id="rId16" Type="http://schemas.openxmlformats.org/officeDocument/2006/relationships/hyperlink" Target="http://www.healthpartners.com/ucm/groups/public/@hp/@public/documents/documents/dev_0579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cms.hhs.gov/ActuarialStudies/downloads/Last_Year_of_Life.pdf"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Active%20files\SAAJ\Matans%20graphs%20redo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Active%20files\SAAJ\Matans%20graphs%20redo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Active%20files\SAAJ\Matans%20graphs%20redon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Active%20files\SAAJ\Matans%20graphs%20redo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541514528888504"/>
          <c:y val="4.5521844395489286E-2"/>
          <c:w val="0.74854494503125579"/>
          <c:h val="0.71159087108571317"/>
        </c:manualLayout>
      </c:layout>
      <c:lineChart>
        <c:grouping val="standard"/>
        <c:varyColors val="0"/>
        <c:ser>
          <c:idx val="0"/>
          <c:order val="0"/>
          <c:tx>
            <c:strRef>
              <c:f>Sheet1!$H$2</c:f>
              <c:strCache>
                <c:ptCount val="1"/>
                <c:pt idx="0">
                  <c:v>2008</c:v>
                </c:pt>
              </c:strCache>
            </c:strRef>
          </c:tx>
          <c:cat>
            <c:strRef>
              <c:f>Sheet1!$G$3:$G$22</c:f>
              <c:strCache>
                <c:ptCount val="20"/>
                <c:pt idx="0">
                  <c:v>0</c:v>
                </c:pt>
                <c:pt idx="1">
                  <c:v>1-5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Sheet1!$H$3:$H$22</c:f>
              <c:numCache>
                <c:formatCode>0.00%</c:formatCode>
                <c:ptCount val="20"/>
                <c:pt idx="0">
                  <c:v>8.6452137423791691E-3</c:v>
                </c:pt>
                <c:pt idx="1">
                  <c:v>8.9260190506717227E-2</c:v>
                </c:pt>
                <c:pt idx="2">
                  <c:v>9.2406455748264435E-2</c:v>
                </c:pt>
                <c:pt idx="3">
                  <c:v>9.8749353078002464E-2</c:v>
                </c:pt>
                <c:pt idx="4">
                  <c:v>9.8186193336182365E-2</c:v>
                </c:pt>
                <c:pt idx="5">
                  <c:v>5.943802927262732E-2</c:v>
                </c:pt>
                <c:pt idx="6">
                  <c:v>6.050003167190602E-2</c:v>
                </c:pt>
                <c:pt idx="7">
                  <c:v>7.4863829053138237E-2</c:v>
                </c:pt>
                <c:pt idx="8">
                  <c:v>8.542963366270219E-2</c:v>
                </c:pt>
                <c:pt idx="9">
                  <c:v>8.1833392148725106E-2</c:v>
                </c:pt>
                <c:pt idx="10">
                  <c:v>7.5582387954651026E-2</c:v>
                </c:pt>
                <c:pt idx="11">
                  <c:v>5.9448086420749419E-2</c:v>
                </c:pt>
                <c:pt idx="12">
                  <c:v>4.3276638323622614E-2</c:v>
                </c:pt>
                <c:pt idx="13">
                  <c:v>2.8226562242108195E-2</c:v>
                </c:pt>
                <c:pt idx="14">
                  <c:v>1.8051850924839907E-2</c:v>
                </c:pt>
                <c:pt idx="15">
                  <c:v>1.1912408079491E-2</c:v>
                </c:pt>
                <c:pt idx="16">
                  <c:v>7.8334640086705608E-3</c:v>
                </c:pt>
                <c:pt idx="17">
                  <c:v>4.0738749437428312E-3</c:v>
                </c:pt>
                <c:pt idx="18">
                  <c:v>1.7709502358522905E-3</c:v>
                </c:pt>
                <c:pt idx="19">
                  <c:v>5.1145464562787001E-4</c:v>
                </c:pt>
              </c:numCache>
            </c:numRef>
          </c:val>
          <c:smooth val="0"/>
        </c:ser>
        <c:ser>
          <c:idx val="1"/>
          <c:order val="1"/>
          <c:tx>
            <c:strRef>
              <c:f>Sheet1!$I$2</c:f>
              <c:strCache>
                <c:ptCount val="1"/>
                <c:pt idx="0">
                  <c:v>2009</c:v>
                </c:pt>
              </c:strCache>
            </c:strRef>
          </c:tx>
          <c:cat>
            <c:strRef>
              <c:f>Sheet1!$G$3:$G$22</c:f>
              <c:strCache>
                <c:ptCount val="20"/>
                <c:pt idx="0">
                  <c:v>0</c:v>
                </c:pt>
                <c:pt idx="1">
                  <c:v>1-5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Sheet1!$I$3:$I$22</c:f>
              <c:numCache>
                <c:formatCode>0.00%</c:formatCode>
                <c:ptCount val="20"/>
                <c:pt idx="0">
                  <c:v>9.2001835701508803E-3</c:v>
                </c:pt>
                <c:pt idx="1">
                  <c:v>9.5004836506832543E-2</c:v>
                </c:pt>
                <c:pt idx="2">
                  <c:v>9.3331774889801614E-2</c:v>
                </c:pt>
                <c:pt idx="3">
                  <c:v>9.7154282808085218E-2</c:v>
                </c:pt>
                <c:pt idx="4">
                  <c:v>9.7344627588276958E-2</c:v>
                </c:pt>
                <c:pt idx="5">
                  <c:v>5.6731421877250506E-2</c:v>
                </c:pt>
                <c:pt idx="6">
                  <c:v>6.2504109994052301E-2</c:v>
                </c:pt>
                <c:pt idx="7">
                  <c:v>7.3709988086201023E-2</c:v>
                </c:pt>
                <c:pt idx="8">
                  <c:v>8.3827813317283353E-2</c:v>
                </c:pt>
                <c:pt idx="9">
                  <c:v>8.0732462884074721E-2</c:v>
                </c:pt>
                <c:pt idx="10">
                  <c:v>7.4176615073891727E-2</c:v>
                </c:pt>
                <c:pt idx="11">
                  <c:v>6.0335078601904707E-2</c:v>
                </c:pt>
                <c:pt idx="12">
                  <c:v>4.3431960296490407E-2</c:v>
                </c:pt>
                <c:pt idx="13">
                  <c:v>2.8571511213144114E-2</c:v>
                </c:pt>
                <c:pt idx="14">
                  <c:v>1.7999325812867513E-2</c:v>
                </c:pt>
                <c:pt idx="15">
                  <c:v>1.2055111330612801E-2</c:v>
                </c:pt>
                <c:pt idx="16">
                  <c:v>7.5856332833913543E-3</c:v>
                </c:pt>
                <c:pt idx="17">
                  <c:v>4.0750928627781811E-3</c:v>
                </c:pt>
                <c:pt idx="18">
                  <c:v>1.7025786490378505E-3</c:v>
                </c:pt>
                <c:pt idx="19">
                  <c:v>5.2559135387237829E-4</c:v>
                </c:pt>
              </c:numCache>
            </c:numRef>
          </c:val>
          <c:smooth val="0"/>
        </c:ser>
        <c:ser>
          <c:idx val="2"/>
          <c:order val="2"/>
          <c:tx>
            <c:strRef>
              <c:f>Sheet1!$J$2</c:f>
              <c:strCache>
                <c:ptCount val="1"/>
                <c:pt idx="0">
                  <c:v>2010</c:v>
                </c:pt>
              </c:strCache>
            </c:strRef>
          </c:tx>
          <c:cat>
            <c:strRef>
              <c:f>Sheet1!$G$3:$G$22</c:f>
              <c:strCache>
                <c:ptCount val="20"/>
                <c:pt idx="0">
                  <c:v>0</c:v>
                </c:pt>
                <c:pt idx="1">
                  <c:v>1-5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Sheet1!$J$3:$J$22</c:f>
              <c:numCache>
                <c:formatCode>0.00%</c:formatCode>
                <c:ptCount val="20"/>
                <c:pt idx="0">
                  <c:v>8.7818545495811536E-3</c:v>
                </c:pt>
                <c:pt idx="1">
                  <c:v>9.8115737790772525E-2</c:v>
                </c:pt>
                <c:pt idx="2">
                  <c:v>9.5230230430044124E-2</c:v>
                </c:pt>
                <c:pt idx="3">
                  <c:v>9.7242968634819224E-2</c:v>
                </c:pt>
                <c:pt idx="4">
                  <c:v>9.7754294923925122E-2</c:v>
                </c:pt>
                <c:pt idx="5">
                  <c:v>5.4645773102024189E-2</c:v>
                </c:pt>
                <c:pt idx="6">
                  <c:v>6.0630296255523616E-2</c:v>
                </c:pt>
                <c:pt idx="7">
                  <c:v>7.0418299860521713E-2</c:v>
                </c:pt>
                <c:pt idx="8">
                  <c:v>8.2520914678673341E-2</c:v>
                </c:pt>
                <c:pt idx="9">
                  <c:v>7.989764043633435E-2</c:v>
                </c:pt>
                <c:pt idx="10">
                  <c:v>7.4516360335087614E-2</c:v>
                </c:pt>
                <c:pt idx="11">
                  <c:v>6.147549666958909E-2</c:v>
                </c:pt>
                <c:pt idx="12">
                  <c:v>4.4840511527474911E-2</c:v>
                </c:pt>
                <c:pt idx="13">
                  <c:v>2.9371366670868516E-2</c:v>
                </c:pt>
                <c:pt idx="14">
                  <c:v>1.8393914883945706E-2</c:v>
                </c:pt>
                <c:pt idx="15">
                  <c:v>1.2376667602390198E-2</c:v>
                </c:pt>
                <c:pt idx="16">
                  <c:v>7.4939825012362024E-3</c:v>
                </c:pt>
                <c:pt idx="17">
                  <c:v>4.0794507879096231E-3</c:v>
                </c:pt>
                <c:pt idx="18">
                  <c:v>1.7034150346778305E-3</c:v>
                </c:pt>
                <c:pt idx="19">
                  <c:v>5.108233246016601E-4</c:v>
                </c:pt>
              </c:numCache>
            </c:numRef>
          </c:val>
          <c:smooth val="0"/>
        </c:ser>
        <c:ser>
          <c:idx val="3"/>
          <c:order val="3"/>
          <c:tx>
            <c:strRef>
              <c:f>Sheet1!$K$2</c:f>
              <c:strCache>
                <c:ptCount val="1"/>
                <c:pt idx="0">
                  <c:v>2011</c:v>
                </c:pt>
              </c:strCache>
            </c:strRef>
          </c:tx>
          <c:cat>
            <c:strRef>
              <c:f>Sheet1!$G$3:$G$22</c:f>
              <c:strCache>
                <c:ptCount val="20"/>
                <c:pt idx="0">
                  <c:v>0</c:v>
                </c:pt>
                <c:pt idx="1">
                  <c:v>1-5</c:v>
                </c:pt>
                <c:pt idx="2">
                  <c:v>6-10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Sheet1!$K$3:$K$22</c:f>
              <c:numCache>
                <c:formatCode>0.00%</c:formatCode>
                <c:ptCount val="20"/>
                <c:pt idx="0">
                  <c:v>9.0567068445027172E-3</c:v>
                </c:pt>
                <c:pt idx="1">
                  <c:v>9.8853673130970543E-2</c:v>
                </c:pt>
                <c:pt idx="2">
                  <c:v>9.5685355994507434E-2</c:v>
                </c:pt>
                <c:pt idx="3">
                  <c:v>9.6807269754905195E-2</c:v>
                </c:pt>
                <c:pt idx="4">
                  <c:v>9.6906011426092634E-2</c:v>
                </c:pt>
                <c:pt idx="5">
                  <c:v>5.2911772304074095E-2</c:v>
                </c:pt>
                <c:pt idx="6">
                  <c:v>5.9774170457486508E-2</c:v>
                </c:pt>
                <c:pt idx="7">
                  <c:v>6.7640975046772106E-2</c:v>
                </c:pt>
                <c:pt idx="8">
                  <c:v>7.9804167087956623E-2</c:v>
                </c:pt>
                <c:pt idx="9">
                  <c:v>8.0249422171791138E-2</c:v>
                </c:pt>
                <c:pt idx="10">
                  <c:v>7.4110656025929533E-2</c:v>
                </c:pt>
                <c:pt idx="11">
                  <c:v>6.4189071593868177E-2</c:v>
                </c:pt>
                <c:pt idx="12">
                  <c:v>4.6259111405468095E-2</c:v>
                </c:pt>
                <c:pt idx="13">
                  <c:v>3.1171970104715913E-2</c:v>
                </c:pt>
                <c:pt idx="14">
                  <c:v>1.8898907235159804E-2</c:v>
                </c:pt>
                <c:pt idx="15">
                  <c:v>1.3197670880512904E-2</c:v>
                </c:pt>
                <c:pt idx="16">
                  <c:v>7.8036111036785243E-3</c:v>
                </c:pt>
                <c:pt idx="17">
                  <c:v>4.3636063773385709E-3</c:v>
                </c:pt>
                <c:pt idx="18">
                  <c:v>1.7314719068105906E-3</c:v>
                </c:pt>
                <c:pt idx="19">
                  <c:v>5.8439914745920228E-4</c:v>
                </c:pt>
              </c:numCache>
            </c:numRef>
          </c:val>
          <c:smooth val="0"/>
        </c:ser>
        <c:dLbls>
          <c:showLegendKey val="0"/>
          <c:showVal val="0"/>
          <c:showCatName val="0"/>
          <c:showSerName val="0"/>
          <c:showPercent val="0"/>
          <c:showBubbleSize val="0"/>
        </c:dLbls>
        <c:marker val="1"/>
        <c:smooth val="0"/>
        <c:axId val="135158784"/>
        <c:axId val="190051456"/>
      </c:lineChart>
      <c:catAx>
        <c:axId val="135158784"/>
        <c:scaling>
          <c:orientation val="minMax"/>
        </c:scaling>
        <c:delete val="0"/>
        <c:axPos val="b"/>
        <c:title>
          <c:tx>
            <c:rich>
              <a:bodyPr/>
              <a:lstStyle/>
              <a:p>
                <a:pPr>
                  <a:defRPr/>
                </a:pPr>
                <a:r>
                  <a:rPr lang="en-US"/>
                  <a:t>Age Bands</a:t>
                </a:r>
              </a:p>
            </c:rich>
          </c:tx>
          <c:overlay val="0"/>
        </c:title>
        <c:majorTickMark val="out"/>
        <c:minorTickMark val="none"/>
        <c:tickLblPos val="nextTo"/>
        <c:crossAx val="190051456"/>
        <c:crosses val="autoZero"/>
        <c:auto val="1"/>
        <c:lblAlgn val="ctr"/>
        <c:lblOffset val="100"/>
        <c:noMultiLvlLbl val="0"/>
      </c:catAx>
      <c:valAx>
        <c:axId val="190051456"/>
        <c:scaling>
          <c:orientation val="minMax"/>
        </c:scaling>
        <c:delete val="0"/>
        <c:axPos val="l"/>
        <c:majorGridlines/>
        <c:title>
          <c:tx>
            <c:rich>
              <a:bodyPr rot="-5400000" vert="horz"/>
              <a:lstStyle/>
              <a:p>
                <a:pPr>
                  <a:defRPr/>
                </a:pPr>
                <a:r>
                  <a:rPr lang="en-US"/>
                  <a:t>Proportion of Exposure</a:t>
                </a:r>
              </a:p>
            </c:rich>
          </c:tx>
          <c:layout>
            <c:manualLayout>
              <c:xMode val="edge"/>
              <c:yMode val="edge"/>
              <c:x val="1.3311145761238605E-2"/>
              <c:y val="0.17706051286525501"/>
            </c:manualLayout>
          </c:layout>
          <c:overlay val="0"/>
        </c:title>
        <c:numFmt formatCode="0%" sourceLinked="0"/>
        <c:majorTickMark val="out"/>
        <c:minorTickMark val="none"/>
        <c:tickLblPos val="nextTo"/>
        <c:crossAx val="135158784"/>
        <c:crosses val="autoZero"/>
        <c:crossBetween val="between"/>
      </c:valAx>
    </c:plotArea>
    <c:legend>
      <c:legendPos val="r"/>
      <c:layout>
        <c:manualLayout>
          <c:xMode val="edge"/>
          <c:yMode val="edge"/>
          <c:x val="0.87061566320076123"/>
          <c:y val="0.19341781723268001"/>
          <c:w val="0.11602916992603403"/>
          <c:h val="0.28506990642790109"/>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Sheet7!$O$2</c:f>
              <c:strCache>
                <c:ptCount val="1"/>
                <c:pt idx="0">
                  <c:v>2008</c:v>
                </c:pt>
              </c:strCache>
            </c:strRef>
          </c:tx>
          <c:invertIfNegative val="0"/>
          <c:cat>
            <c:strRef>
              <c:f>Sheet7!$N$3:$N$21</c:f>
              <c:strCache>
                <c:ptCount val="19"/>
                <c:pt idx="0">
                  <c:v>0</c:v>
                </c:pt>
                <c:pt idx="1">
                  <c:v>1-5</c:v>
                </c:pt>
                <c:pt idx="2">
                  <c:v>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90+</c:v>
                </c:pt>
              </c:strCache>
            </c:strRef>
          </c:cat>
          <c:val>
            <c:numRef>
              <c:f>Sheet7!$O$3:$O$21</c:f>
              <c:numCache>
                <c:formatCode>General</c:formatCode>
                <c:ptCount val="19"/>
                <c:pt idx="0">
                  <c:v>1547</c:v>
                </c:pt>
                <c:pt idx="1">
                  <c:v>594</c:v>
                </c:pt>
                <c:pt idx="2">
                  <c:v>550</c:v>
                </c:pt>
                <c:pt idx="3">
                  <c:v>582</c:v>
                </c:pt>
                <c:pt idx="4">
                  <c:v>1370</c:v>
                </c:pt>
                <c:pt idx="5">
                  <c:v>593</c:v>
                </c:pt>
                <c:pt idx="6">
                  <c:v>817</c:v>
                </c:pt>
                <c:pt idx="7">
                  <c:v>1278</c:v>
                </c:pt>
                <c:pt idx="8">
                  <c:v>1644</c:v>
                </c:pt>
                <c:pt idx="9">
                  <c:v>1711</c:v>
                </c:pt>
                <c:pt idx="10">
                  <c:v>2191</c:v>
                </c:pt>
                <c:pt idx="11">
                  <c:v>2534</c:v>
                </c:pt>
                <c:pt idx="12">
                  <c:v>2674</c:v>
                </c:pt>
                <c:pt idx="13">
                  <c:v>2496</c:v>
                </c:pt>
                <c:pt idx="14">
                  <c:v>2772</c:v>
                </c:pt>
                <c:pt idx="15">
                  <c:v>2613</c:v>
                </c:pt>
                <c:pt idx="16">
                  <c:v>2698</c:v>
                </c:pt>
                <c:pt idx="17">
                  <c:v>2303</c:v>
                </c:pt>
                <c:pt idx="18">
                  <c:v>1877</c:v>
                </c:pt>
              </c:numCache>
            </c:numRef>
          </c:val>
        </c:ser>
        <c:ser>
          <c:idx val="1"/>
          <c:order val="1"/>
          <c:tx>
            <c:strRef>
              <c:f>Sheet7!$P$2</c:f>
              <c:strCache>
                <c:ptCount val="1"/>
                <c:pt idx="0">
                  <c:v>2009</c:v>
                </c:pt>
              </c:strCache>
            </c:strRef>
          </c:tx>
          <c:invertIfNegative val="0"/>
          <c:cat>
            <c:strRef>
              <c:f>Sheet7!$N$3:$N$21</c:f>
              <c:strCache>
                <c:ptCount val="19"/>
                <c:pt idx="0">
                  <c:v>0</c:v>
                </c:pt>
                <c:pt idx="1">
                  <c:v>1-5</c:v>
                </c:pt>
                <c:pt idx="2">
                  <c:v>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90+</c:v>
                </c:pt>
              </c:strCache>
            </c:strRef>
          </c:cat>
          <c:val>
            <c:numRef>
              <c:f>Sheet7!$P$3:$P$21</c:f>
              <c:numCache>
                <c:formatCode>General</c:formatCode>
                <c:ptCount val="19"/>
                <c:pt idx="0">
                  <c:v>1750</c:v>
                </c:pt>
                <c:pt idx="1">
                  <c:v>1065</c:v>
                </c:pt>
                <c:pt idx="2">
                  <c:v>571</c:v>
                </c:pt>
                <c:pt idx="3">
                  <c:v>724</c:v>
                </c:pt>
                <c:pt idx="4">
                  <c:v>1439</c:v>
                </c:pt>
                <c:pt idx="5">
                  <c:v>837</c:v>
                </c:pt>
                <c:pt idx="6">
                  <c:v>1230</c:v>
                </c:pt>
                <c:pt idx="7">
                  <c:v>1543</c:v>
                </c:pt>
                <c:pt idx="8">
                  <c:v>2254</c:v>
                </c:pt>
                <c:pt idx="9">
                  <c:v>2630</c:v>
                </c:pt>
                <c:pt idx="10">
                  <c:v>3493</c:v>
                </c:pt>
                <c:pt idx="11">
                  <c:v>3912</c:v>
                </c:pt>
                <c:pt idx="12">
                  <c:v>3762</c:v>
                </c:pt>
                <c:pt idx="13">
                  <c:v>4213</c:v>
                </c:pt>
                <c:pt idx="14">
                  <c:v>4178</c:v>
                </c:pt>
                <c:pt idx="15">
                  <c:v>4052</c:v>
                </c:pt>
                <c:pt idx="16">
                  <c:v>4294</c:v>
                </c:pt>
                <c:pt idx="17">
                  <c:v>3438</c:v>
                </c:pt>
                <c:pt idx="18">
                  <c:v>3282</c:v>
                </c:pt>
              </c:numCache>
            </c:numRef>
          </c:val>
        </c:ser>
        <c:ser>
          <c:idx val="2"/>
          <c:order val="2"/>
          <c:tx>
            <c:strRef>
              <c:f>Sheet7!$Q$2</c:f>
              <c:strCache>
                <c:ptCount val="1"/>
                <c:pt idx="0">
                  <c:v>2010</c:v>
                </c:pt>
              </c:strCache>
            </c:strRef>
          </c:tx>
          <c:invertIfNegative val="0"/>
          <c:cat>
            <c:strRef>
              <c:f>Sheet7!$N$3:$N$21</c:f>
              <c:strCache>
                <c:ptCount val="19"/>
                <c:pt idx="0">
                  <c:v>0</c:v>
                </c:pt>
                <c:pt idx="1">
                  <c:v>1-5</c:v>
                </c:pt>
                <c:pt idx="2">
                  <c:v>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90+</c:v>
                </c:pt>
              </c:strCache>
            </c:strRef>
          </c:cat>
          <c:val>
            <c:numRef>
              <c:f>Sheet7!$Q$3:$Q$21</c:f>
              <c:numCache>
                <c:formatCode>General</c:formatCode>
                <c:ptCount val="19"/>
                <c:pt idx="0">
                  <c:v>1800</c:v>
                </c:pt>
                <c:pt idx="1">
                  <c:v>1181</c:v>
                </c:pt>
                <c:pt idx="2">
                  <c:v>526</c:v>
                </c:pt>
                <c:pt idx="3">
                  <c:v>857</c:v>
                </c:pt>
                <c:pt idx="4">
                  <c:v>1422</c:v>
                </c:pt>
                <c:pt idx="5">
                  <c:v>1226</c:v>
                </c:pt>
                <c:pt idx="6">
                  <c:v>2218</c:v>
                </c:pt>
                <c:pt idx="7">
                  <c:v>3665</c:v>
                </c:pt>
                <c:pt idx="8">
                  <c:v>4572</c:v>
                </c:pt>
                <c:pt idx="9">
                  <c:v>5393</c:v>
                </c:pt>
                <c:pt idx="10">
                  <c:v>5941</c:v>
                </c:pt>
                <c:pt idx="11">
                  <c:v>6461</c:v>
                </c:pt>
                <c:pt idx="12">
                  <c:v>6185</c:v>
                </c:pt>
                <c:pt idx="13">
                  <c:v>5597</c:v>
                </c:pt>
                <c:pt idx="14">
                  <c:v>5811</c:v>
                </c:pt>
                <c:pt idx="15">
                  <c:v>5445</c:v>
                </c:pt>
                <c:pt idx="16">
                  <c:v>4960</c:v>
                </c:pt>
                <c:pt idx="17">
                  <c:v>4048</c:v>
                </c:pt>
                <c:pt idx="18">
                  <c:v>3594</c:v>
                </c:pt>
              </c:numCache>
            </c:numRef>
          </c:val>
        </c:ser>
        <c:ser>
          <c:idx val="3"/>
          <c:order val="3"/>
          <c:tx>
            <c:strRef>
              <c:f>Sheet7!$R$2</c:f>
              <c:strCache>
                <c:ptCount val="1"/>
                <c:pt idx="0">
                  <c:v>2011</c:v>
                </c:pt>
              </c:strCache>
            </c:strRef>
          </c:tx>
          <c:invertIfNegative val="0"/>
          <c:cat>
            <c:strRef>
              <c:f>Sheet7!$N$3:$N$21</c:f>
              <c:strCache>
                <c:ptCount val="19"/>
                <c:pt idx="0">
                  <c:v>0</c:v>
                </c:pt>
                <c:pt idx="1">
                  <c:v>1-5</c:v>
                </c:pt>
                <c:pt idx="2">
                  <c:v>5-10</c:v>
                </c:pt>
                <c:pt idx="3">
                  <c:v>10-15</c:v>
                </c:pt>
                <c:pt idx="4">
                  <c:v>15-20</c:v>
                </c:pt>
                <c:pt idx="5">
                  <c:v>20-25</c:v>
                </c:pt>
                <c:pt idx="6">
                  <c:v>25-30</c:v>
                </c:pt>
                <c:pt idx="7">
                  <c:v>30-35</c:v>
                </c:pt>
                <c:pt idx="8">
                  <c:v>35-40</c:v>
                </c:pt>
                <c:pt idx="9">
                  <c:v>40-45</c:v>
                </c:pt>
                <c:pt idx="10">
                  <c:v>45-50</c:v>
                </c:pt>
                <c:pt idx="11">
                  <c:v>50-55</c:v>
                </c:pt>
                <c:pt idx="12">
                  <c:v>55-60</c:v>
                </c:pt>
                <c:pt idx="13">
                  <c:v>60-65</c:v>
                </c:pt>
                <c:pt idx="14">
                  <c:v>65-70</c:v>
                </c:pt>
                <c:pt idx="15">
                  <c:v>70-75</c:v>
                </c:pt>
                <c:pt idx="16">
                  <c:v>75-80</c:v>
                </c:pt>
                <c:pt idx="17">
                  <c:v>80-85</c:v>
                </c:pt>
                <c:pt idx="18">
                  <c:v>90+</c:v>
                </c:pt>
              </c:strCache>
            </c:strRef>
          </c:cat>
          <c:val>
            <c:numRef>
              <c:f>Sheet7!$R$3:$R$21</c:f>
              <c:numCache>
                <c:formatCode>General</c:formatCode>
                <c:ptCount val="19"/>
                <c:pt idx="0">
                  <c:v>1569</c:v>
                </c:pt>
                <c:pt idx="1">
                  <c:v>826</c:v>
                </c:pt>
                <c:pt idx="2">
                  <c:v>584</c:v>
                </c:pt>
                <c:pt idx="3">
                  <c:v>688</c:v>
                </c:pt>
                <c:pt idx="4">
                  <c:v>1260</c:v>
                </c:pt>
                <c:pt idx="5">
                  <c:v>959</c:v>
                </c:pt>
                <c:pt idx="6">
                  <c:v>1909</c:v>
                </c:pt>
                <c:pt idx="7">
                  <c:v>3490</c:v>
                </c:pt>
                <c:pt idx="8">
                  <c:v>4872</c:v>
                </c:pt>
                <c:pt idx="9">
                  <c:v>5096</c:v>
                </c:pt>
                <c:pt idx="10">
                  <c:v>5964</c:v>
                </c:pt>
                <c:pt idx="11">
                  <c:v>6767</c:v>
                </c:pt>
                <c:pt idx="12">
                  <c:v>7143</c:v>
                </c:pt>
                <c:pt idx="13">
                  <c:v>6454</c:v>
                </c:pt>
                <c:pt idx="14">
                  <c:v>6479</c:v>
                </c:pt>
                <c:pt idx="15">
                  <c:v>6736</c:v>
                </c:pt>
                <c:pt idx="16">
                  <c:v>5659</c:v>
                </c:pt>
                <c:pt idx="17">
                  <c:v>5250</c:v>
                </c:pt>
                <c:pt idx="18">
                  <c:v>4549</c:v>
                </c:pt>
              </c:numCache>
            </c:numRef>
          </c:val>
        </c:ser>
        <c:dLbls>
          <c:showLegendKey val="0"/>
          <c:showVal val="0"/>
          <c:showCatName val="0"/>
          <c:showSerName val="0"/>
          <c:showPercent val="0"/>
          <c:showBubbleSize val="0"/>
        </c:dLbls>
        <c:gapWidth val="150"/>
        <c:axId val="190328192"/>
        <c:axId val="190330368"/>
      </c:barChart>
      <c:catAx>
        <c:axId val="190328192"/>
        <c:scaling>
          <c:orientation val="minMax"/>
        </c:scaling>
        <c:delete val="0"/>
        <c:axPos val="b"/>
        <c:title>
          <c:tx>
            <c:rich>
              <a:bodyPr/>
              <a:lstStyle/>
              <a:p>
                <a:pPr>
                  <a:defRPr/>
                </a:pPr>
                <a:r>
                  <a:rPr lang="en-US"/>
                  <a:t>Age Bands</a:t>
                </a:r>
              </a:p>
            </c:rich>
          </c:tx>
          <c:overlay val="0"/>
        </c:title>
        <c:majorTickMark val="out"/>
        <c:minorTickMark val="none"/>
        <c:tickLblPos val="nextTo"/>
        <c:crossAx val="190330368"/>
        <c:crosses val="autoZero"/>
        <c:auto val="1"/>
        <c:lblAlgn val="ctr"/>
        <c:lblOffset val="100"/>
        <c:noMultiLvlLbl val="0"/>
      </c:catAx>
      <c:valAx>
        <c:axId val="190330368"/>
        <c:scaling>
          <c:orientation val="minMax"/>
        </c:scaling>
        <c:delete val="0"/>
        <c:axPos val="l"/>
        <c:majorGridlines/>
        <c:title>
          <c:tx>
            <c:rich>
              <a:bodyPr rot="-5400000" vert="horz"/>
              <a:lstStyle/>
              <a:p>
                <a:pPr>
                  <a:defRPr/>
                </a:pPr>
                <a:r>
                  <a:rPr lang="en-US"/>
                  <a:t>Exposure Months</a:t>
                </a:r>
              </a:p>
            </c:rich>
          </c:tx>
          <c:layout>
            <c:manualLayout>
              <c:xMode val="edge"/>
              <c:yMode val="edge"/>
              <c:x val="1.0449320794148403E-2"/>
              <c:y val="0.24803493915352506"/>
            </c:manualLayout>
          </c:layout>
          <c:overlay val="0"/>
        </c:title>
        <c:numFmt formatCode="General" sourceLinked="1"/>
        <c:majorTickMark val="out"/>
        <c:minorTickMark val="none"/>
        <c:tickLblPos val="nextTo"/>
        <c:crossAx val="190328192"/>
        <c:crosses val="autoZero"/>
        <c:crossBetween val="between"/>
      </c:valAx>
    </c:plotArea>
    <c:legend>
      <c:legendPos val="r"/>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'average age at death'!$G$4:$G$22</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'average age at death'!$H$4:$H$22</c:f>
              <c:numCache>
                <c:formatCode>_(* #,##0.00_);_(* \(#,##0.00\);_(* "-"??_);_(@_)</c:formatCode>
                <c:ptCount val="19"/>
                <c:pt idx="0">
                  <c:v>173050.80328207373</c:v>
                </c:pt>
                <c:pt idx="1">
                  <c:v>99368.607022151307</c:v>
                </c:pt>
                <c:pt idx="2">
                  <c:v>107462.88831887723</c:v>
                </c:pt>
                <c:pt idx="3">
                  <c:v>93368.859475150428</c:v>
                </c:pt>
                <c:pt idx="4">
                  <c:v>128040.0541955714</c:v>
                </c:pt>
                <c:pt idx="5">
                  <c:v>164219.80258392208</c:v>
                </c:pt>
                <c:pt idx="6">
                  <c:v>173811.51353800128</c:v>
                </c:pt>
                <c:pt idx="7">
                  <c:v>178467.13824826427</c:v>
                </c:pt>
                <c:pt idx="8">
                  <c:v>172665.21449448398</c:v>
                </c:pt>
                <c:pt idx="9">
                  <c:v>181370.59625618486</c:v>
                </c:pt>
                <c:pt idx="10">
                  <c:v>196838.52318754696</c:v>
                </c:pt>
                <c:pt idx="11">
                  <c:v>217265.49693264181</c:v>
                </c:pt>
                <c:pt idx="12">
                  <c:v>235591.64724013573</c:v>
                </c:pt>
                <c:pt idx="13">
                  <c:v>236652.14849912148</c:v>
                </c:pt>
                <c:pt idx="14">
                  <c:v>216911.77577259211</c:v>
                </c:pt>
                <c:pt idx="15">
                  <c:v>186224.13843097398</c:v>
                </c:pt>
                <c:pt idx="16">
                  <c:v>142306.94066428521</c:v>
                </c:pt>
                <c:pt idx="17">
                  <c:v>104441.6420598476</c:v>
                </c:pt>
                <c:pt idx="18">
                  <c:v>75982.937843361637</c:v>
                </c:pt>
              </c:numCache>
            </c:numRef>
          </c:val>
        </c:ser>
        <c:dLbls>
          <c:showLegendKey val="0"/>
          <c:showVal val="0"/>
          <c:showCatName val="0"/>
          <c:showSerName val="0"/>
          <c:showPercent val="0"/>
          <c:showBubbleSize val="0"/>
        </c:dLbls>
        <c:gapWidth val="45"/>
        <c:axId val="190359040"/>
        <c:axId val="190360960"/>
      </c:barChart>
      <c:catAx>
        <c:axId val="190359040"/>
        <c:scaling>
          <c:orientation val="minMax"/>
        </c:scaling>
        <c:delete val="0"/>
        <c:axPos val="b"/>
        <c:title>
          <c:tx>
            <c:rich>
              <a:bodyPr/>
              <a:lstStyle/>
              <a:p>
                <a:pPr>
                  <a:defRPr/>
                </a:pPr>
                <a:r>
                  <a:rPr lang="en-US"/>
                  <a:t>Age Band</a:t>
                </a:r>
              </a:p>
            </c:rich>
          </c:tx>
          <c:overlay val="0"/>
        </c:title>
        <c:majorTickMark val="out"/>
        <c:minorTickMark val="none"/>
        <c:tickLblPos val="nextTo"/>
        <c:crossAx val="190360960"/>
        <c:crosses val="autoZero"/>
        <c:auto val="1"/>
        <c:lblAlgn val="ctr"/>
        <c:lblOffset val="100"/>
        <c:noMultiLvlLbl val="0"/>
      </c:catAx>
      <c:valAx>
        <c:axId val="190360960"/>
        <c:scaling>
          <c:orientation val="minMax"/>
        </c:scaling>
        <c:delete val="0"/>
        <c:axPos val="l"/>
        <c:majorGridlines/>
        <c:title>
          <c:tx>
            <c:rich>
              <a:bodyPr rot="-5400000" vert="horz"/>
              <a:lstStyle/>
              <a:p>
                <a:pPr>
                  <a:defRPr/>
                </a:pPr>
                <a:r>
                  <a:rPr lang="en-US"/>
                  <a:t>Average Claimed Amount Per Person Per Year</a:t>
                </a:r>
              </a:p>
            </c:rich>
          </c:tx>
          <c:overlay val="0"/>
        </c:title>
        <c:numFmt formatCode="_(* #,##0_);_(* \(#,##0\);_(* &quot;-&quot;_);_(@_)" sourceLinked="0"/>
        <c:majorTickMark val="out"/>
        <c:minorTickMark val="none"/>
        <c:tickLblPos val="nextTo"/>
        <c:crossAx val="190359040"/>
        <c:crosses val="autoZero"/>
        <c:crossBetween val="between"/>
      </c:valAx>
      <c:spPr>
        <a:ln>
          <a:noFill/>
        </a:ln>
      </c:spPr>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'survivor decedent'!$B$1</c:f>
              <c:strCache>
                <c:ptCount val="1"/>
                <c:pt idx="0">
                  <c:v>2008</c:v>
                </c:pt>
              </c:strCache>
            </c:strRef>
          </c:tx>
          <c:invertIfNegative val="0"/>
          <c:cat>
            <c:strRef>
              <c:f>'survivor decedent'!$A$2:$A$20</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decedent'!$B$2:$B$20</c:f>
              <c:numCache>
                <c:formatCode>General</c:formatCode>
                <c:ptCount val="19"/>
                <c:pt idx="0">
                  <c:v>150549.000502882</c:v>
                </c:pt>
                <c:pt idx="1">
                  <c:v>61279.032038561905</c:v>
                </c:pt>
                <c:pt idx="2">
                  <c:v>62300.740531708172</c:v>
                </c:pt>
                <c:pt idx="3">
                  <c:v>52034.667552236562</c:v>
                </c:pt>
                <c:pt idx="4">
                  <c:v>98539.162182939253</c:v>
                </c:pt>
                <c:pt idx="5">
                  <c:v>155192.82030440349</c:v>
                </c:pt>
                <c:pt idx="6">
                  <c:v>111352.46125852858</c:v>
                </c:pt>
                <c:pt idx="7">
                  <c:v>129298.42533451822</c:v>
                </c:pt>
                <c:pt idx="8">
                  <c:v>147438.27070970257</c:v>
                </c:pt>
                <c:pt idx="9">
                  <c:v>115348.71635956808</c:v>
                </c:pt>
                <c:pt idx="10">
                  <c:v>175129.07753477141</c:v>
                </c:pt>
                <c:pt idx="11">
                  <c:v>189551.53549407286</c:v>
                </c:pt>
                <c:pt idx="12">
                  <c:v>177526.19362013755</c:v>
                </c:pt>
                <c:pt idx="13">
                  <c:v>190921.80472502686</c:v>
                </c:pt>
                <c:pt idx="14">
                  <c:v>172665.89858268431</c:v>
                </c:pt>
                <c:pt idx="15">
                  <c:v>165243.48973975098</c:v>
                </c:pt>
                <c:pt idx="16">
                  <c:v>101378.71356336975</c:v>
                </c:pt>
                <c:pt idx="17">
                  <c:v>72368.559710438858</c:v>
                </c:pt>
                <c:pt idx="18">
                  <c:v>58178.780985498975</c:v>
                </c:pt>
              </c:numCache>
            </c:numRef>
          </c:val>
        </c:ser>
        <c:ser>
          <c:idx val="1"/>
          <c:order val="1"/>
          <c:tx>
            <c:strRef>
              <c:f>'survivor decedent'!$C$1</c:f>
              <c:strCache>
                <c:ptCount val="1"/>
                <c:pt idx="0">
                  <c:v>2009</c:v>
                </c:pt>
              </c:strCache>
            </c:strRef>
          </c:tx>
          <c:invertIfNegative val="0"/>
          <c:cat>
            <c:strRef>
              <c:f>'survivor decedent'!$A$2:$A$20</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decedent'!$C$2:$C$20</c:f>
              <c:numCache>
                <c:formatCode>General</c:formatCode>
                <c:ptCount val="19"/>
                <c:pt idx="0">
                  <c:v>163687.71291326647</c:v>
                </c:pt>
                <c:pt idx="1">
                  <c:v>102348.41739333255</c:v>
                </c:pt>
                <c:pt idx="2">
                  <c:v>120395.38876779586</c:v>
                </c:pt>
                <c:pt idx="3">
                  <c:v>103998.35303829033</c:v>
                </c:pt>
                <c:pt idx="4">
                  <c:v>110557.52077179482</c:v>
                </c:pt>
                <c:pt idx="5">
                  <c:v>131412.01636468101</c:v>
                </c:pt>
                <c:pt idx="6">
                  <c:v>139870.97870907429</c:v>
                </c:pt>
                <c:pt idx="7">
                  <c:v>169621.64946009411</c:v>
                </c:pt>
                <c:pt idx="8">
                  <c:v>159803.41919924779</c:v>
                </c:pt>
                <c:pt idx="9">
                  <c:v>163927.54436549</c:v>
                </c:pt>
                <c:pt idx="10">
                  <c:v>177925.8167513501</c:v>
                </c:pt>
                <c:pt idx="11">
                  <c:v>203995.59717153385</c:v>
                </c:pt>
                <c:pt idx="12">
                  <c:v>233093.74833750151</c:v>
                </c:pt>
                <c:pt idx="13">
                  <c:v>211829.34060809616</c:v>
                </c:pt>
                <c:pt idx="14">
                  <c:v>199742.1013313343</c:v>
                </c:pt>
                <c:pt idx="15">
                  <c:v>169979.32745093486</c:v>
                </c:pt>
                <c:pt idx="16">
                  <c:v>138786.01847060901</c:v>
                </c:pt>
                <c:pt idx="17">
                  <c:v>104703.1424992806</c:v>
                </c:pt>
                <c:pt idx="18">
                  <c:v>68273.167892877944</c:v>
                </c:pt>
              </c:numCache>
            </c:numRef>
          </c:val>
        </c:ser>
        <c:ser>
          <c:idx val="2"/>
          <c:order val="2"/>
          <c:tx>
            <c:strRef>
              <c:f>'survivor decedent'!$D$1</c:f>
              <c:strCache>
                <c:ptCount val="1"/>
                <c:pt idx="0">
                  <c:v>2010</c:v>
                </c:pt>
              </c:strCache>
            </c:strRef>
          </c:tx>
          <c:invertIfNegative val="0"/>
          <c:cat>
            <c:strRef>
              <c:f>'survivor decedent'!$A$2:$A$20</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decedent'!$D$2:$D$20</c:f>
              <c:numCache>
                <c:formatCode>General</c:formatCode>
                <c:ptCount val="19"/>
                <c:pt idx="0">
                  <c:v>155936.46314958335</c:v>
                </c:pt>
                <c:pt idx="1">
                  <c:v>108163.87797946739</c:v>
                </c:pt>
                <c:pt idx="2">
                  <c:v>124422.88638845</c:v>
                </c:pt>
                <c:pt idx="3">
                  <c:v>87921.458458696972</c:v>
                </c:pt>
                <c:pt idx="4">
                  <c:v>146775.06868508601</c:v>
                </c:pt>
                <c:pt idx="5">
                  <c:v>175743.73838177681</c:v>
                </c:pt>
                <c:pt idx="6">
                  <c:v>170799.2064044681</c:v>
                </c:pt>
                <c:pt idx="7">
                  <c:v>166780.73634663314</c:v>
                </c:pt>
                <c:pt idx="8">
                  <c:v>165664.30473905709</c:v>
                </c:pt>
                <c:pt idx="9">
                  <c:v>180894.1755141764</c:v>
                </c:pt>
                <c:pt idx="10">
                  <c:v>173326.30480317381</c:v>
                </c:pt>
                <c:pt idx="11">
                  <c:v>199717.60961857816</c:v>
                </c:pt>
                <c:pt idx="12">
                  <c:v>214336.37359345568</c:v>
                </c:pt>
                <c:pt idx="13">
                  <c:v>228994.012094776</c:v>
                </c:pt>
                <c:pt idx="14">
                  <c:v>196062.38038194808</c:v>
                </c:pt>
                <c:pt idx="15">
                  <c:v>172122.7072987993</c:v>
                </c:pt>
                <c:pt idx="16">
                  <c:v>138262.6785125162</c:v>
                </c:pt>
                <c:pt idx="17">
                  <c:v>96390.541575447089</c:v>
                </c:pt>
                <c:pt idx="18">
                  <c:v>74161.302019688403</c:v>
                </c:pt>
              </c:numCache>
            </c:numRef>
          </c:val>
        </c:ser>
        <c:ser>
          <c:idx val="3"/>
          <c:order val="3"/>
          <c:tx>
            <c:strRef>
              <c:f>'survivor decedent'!$E$1</c:f>
              <c:strCache>
                <c:ptCount val="1"/>
                <c:pt idx="0">
                  <c:v>2011</c:v>
                </c:pt>
              </c:strCache>
            </c:strRef>
          </c:tx>
          <c:invertIfNegative val="0"/>
          <c:cat>
            <c:strRef>
              <c:f>'survivor decedent'!$A$2:$A$20</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decedent'!$E$2:$E$20</c:f>
              <c:numCache>
                <c:formatCode>General</c:formatCode>
                <c:ptCount val="19"/>
                <c:pt idx="0">
                  <c:v>260674.73772841931</c:v>
                </c:pt>
                <c:pt idx="1">
                  <c:v>144143.51731878481</c:v>
                </c:pt>
                <c:pt idx="2">
                  <c:v>122216.9867765347</c:v>
                </c:pt>
                <c:pt idx="3">
                  <c:v>150235.58855619864</c:v>
                </c:pt>
                <c:pt idx="4">
                  <c:v>167859.351449537</c:v>
                </c:pt>
                <c:pt idx="5">
                  <c:v>192962.59137488247</c:v>
                </c:pt>
                <c:pt idx="6">
                  <c:v>259800.13131549128</c:v>
                </c:pt>
                <c:pt idx="7">
                  <c:v>240206.10153482136</c:v>
                </c:pt>
                <c:pt idx="8">
                  <c:v>214132.15851908841</c:v>
                </c:pt>
                <c:pt idx="9">
                  <c:v>257119.33132455751</c:v>
                </c:pt>
                <c:pt idx="10">
                  <c:v>273817.87545923243</c:v>
                </c:pt>
                <c:pt idx="11">
                  <c:v>283635.5965181978</c:v>
                </c:pt>
                <c:pt idx="12">
                  <c:v>316945.30639249471</c:v>
                </c:pt>
                <c:pt idx="13">
                  <c:v>321590.04057535611</c:v>
                </c:pt>
                <c:pt idx="14">
                  <c:v>308411.58319667052</c:v>
                </c:pt>
                <c:pt idx="15">
                  <c:v>252211.80638207385</c:v>
                </c:pt>
                <c:pt idx="16">
                  <c:v>190040.36092462271</c:v>
                </c:pt>
                <c:pt idx="17">
                  <c:v>150206.9383637282</c:v>
                </c:pt>
                <c:pt idx="18">
                  <c:v>109058.0441101394</c:v>
                </c:pt>
              </c:numCache>
            </c:numRef>
          </c:val>
        </c:ser>
        <c:dLbls>
          <c:showLegendKey val="0"/>
          <c:showVal val="0"/>
          <c:showCatName val="0"/>
          <c:showSerName val="0"/>
          <c:showPercent val="0"/>
          <c:showBubbleSize val="0"/>
        </c:dLbls>
        <c:gapWidth val="150"/>
        <c:axId val="190374656"/>
        <c:axId val="190376576"/>
      </c:barChart>
      <c:catAx>
        <c:axId val="190374656"/>
        <c:scaling>
          <c:orientation val="minMax"/>
        </c:scaling>
        <c:delete val="0"/>
        <c:axPos val="b"/>
        <c:title>
          <c:tx>
            <c:rich>
              <a:bodyPr/>
              <a:lstStyle/>
              <a:p>
                <a:pPr>
                  <a:defRPr/>
                </a:pPr>
                <a:r>
                  <a:rPr lang="en-US"/>
                  <a:t>Age Bands</a:t>
                </a:r>
              </a:p>
            </c:rich>
          </c:tx>
          <c:overlay val="0"/>
        </c:title>
        <c:majorTickMark val="out"/>
        <c:minorTickMark val="none"/>
        <c:tickLblPos val="nextTo"/>
        <c:crossAx val="190376576"/>
        <c:crosses val="autoZero"/>
        <c:auto val="1"/>
        <c:lblAlgn val="ctr"/>
        <c:lblOffset val="100"/>
        <c:noMultiLvlLbl val="0"/>
      </c:catAx>
      <c:valAx>
        <c:axId val="190376576"/>
        <c:scaling>
          <c:orientation val="minMax"/>
        </c:scaling>
        <c:delete val="0"/>
        <c:axPos val="l"/>
        <c:majorGridlines/>
        <c:title>
          <c:tx>
            <c:rich>
              <a:bodyPr rot="-5400000" vert="horz"/>
              <a:lstStyle/>
              <a:p>
                <a:pPr>
                  <a:defRPr/>
                </a:pPr>
                <a:r>
                  <a:rPr lang="en-US"/>
                  <a:t>Average Claimed Amount</a:t>
                </a:r>
              </a:p>
            </c:rich>
          </c:tx>
          <c:overlay val="0"/>
        </c:title>
        <c:numFmt formatCode="#,##0" sourceLinked="0"/>
        <c:majorTickMark val="out"/>
        <c:minorTickMark val="none"/>
        <c:tickLblPos val="nextTo"/>
        <c:crossAx val="190374656"/>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'survivor decedent'!$B$1</c:f>
              <c:strCache>
                <c:ptCount val="1"/>
                <c:pt idx="0">
                  <c:v>2008</c:v>
                </c:pt>
              </c:strCache>
            </c:strRef>
          </c:tx>
          <c:invertIfNegative val="0"/>
          <c:cat>
            <c:strRef>
              <c:f>'survivor decedent'!$A$24:$A$42</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decedent'!$B$24:$B$42</c:f>
              <c:numCache>
                <c:formatCode>General</c:formatCode>
                <c:ptCount val="19"/>
                <c:pt idx="0">
                  <c:v>5202.7042795503121</c:v>
                </c:pt>
                <c:pt idx="1">
                  <c:v>2870.2656706461557</c:v>
                </c:pt>
                <c:pt idx="2">
                  <c:v>2679.676275573891</c:v>
                </c:pt>
                <c:pt idx="3">
                  <c:v>3930.1413458344509</c:v>
                </c:pt>
                <c:pt idx="4">
                  <c:v>6863.0500709708604</c:v>
                </c:pt>
                <c:pt idx="5">
                  <c:v>10320.51224440754</c:v>
                </c:pt>
                <c:pt idx="6">
                  <c:v>10902.180313737597</c:v>
                </c:pt>
                <c:pt idx="7">
                  <c:v>11024.943934465446</c:v>
                </c:pt>
                <c:pt idx="8">
                  <c:v>10979.62796806752</c:v>
                </c:pt>
                <c:pt idx="9">
                  <c:v>12305.760210543509</c:v>
                </c:pt>
                <c:pt idx="10">
                  <c:v>14186.72366536335</c:v>
                </c:pt>
                <c:pt idx="11">
                  <c:v>17272.890262373108</c:v>
                </c:pt>
                <c:pt idx="12">
                  <c:v>21739.429554753417</c:v>
                </c:pt>
                <c:pt idx="13">
                  <c:v>27333.798209429671</c:v>
                </c:pt>
                <c:pt idx="14">
                  <c:v>31491.16058376657</c:v>
                </c:pt>
                <c:pt idx="15">
                  <c:v>33104.298348403026</c:v>
                </c:pt>
                <c:pt idx="16">
                  <c:v>32559.981580566116</c:v>
                </c:pt>
                <c:pt idx="17">
                  <c:v>32644.828425453521</c:v>
                </c:pt>
                <c:pt idx="18">
                  <c:v>27860.864640141517</c:v>
                </c:pt>
              </c:numCache>
            </c:numRef>
          </c:val>
        </c:ser>
        <c:ser>
          <c:idx val="1"/>
          <c:order val="1"/>
          <c:tx>
            <c:strRef>
              <c:f>'survivor decedent'!$C$1</c:f>
              <c:strCache>
                <c:ptCount val="1"/>
                <c:pt idx="0">
                  <c:v>2009</c:v>
                </c:pt>
              </c:strCache>
            </c:strRef>
          </c:tx>
          <c:invertIfNegative val="0"/>
          <c:cat>
            <c:strRef>
              <c:f>'survivor decedent'!$A$24:$A$42</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decedent'!$C$24:$C$42</c:f>
              <c:numCache>
                <c:formatCode>General</c:formatCode>
                <c:ptCount val="19"/>
                <c:pt idx="0">
                  <c:v>5503.8153125485305</c:v>
                </c:pt>
                <c:pt idx="1">
                  <c:v>3250.390449844826</c:v>
                </c:pt>
                <c:pt idx="2">
                  <c:v>3088.3012538839621</c:v>
                </c:pt>
                <c:pt idx="3">
                  <c:v>4380.0137084377538</c:v>
                </c:pt>
                <c:pt idx="4">
                  <c:v>7610.777413302314</c:v>
                </c:pt>
                <c:pt idx="5">
                  <c:v>11155.804734613357</c:v>
                </c:pt>
                <c:pt idx="6">
                  <c:v>11770.89334849343</c:v>
                </c:pt>
                <c:pt idx="7">
                  <c:v>11802.10626577029</c:v>
                </c:pt>
                <c:pt idx="8">
                  <c:v>11797.823039603645</c:v>
                </c:pt>
                <c:pt idx="9">
                  <c:v>12946.880022445457</c:v>
                </c:pt>
                <c:pt idx="10">
                  <c:v>15010.227470079813</c:v>
                </c:pt>
                <c:pt idx="11">
                  <c:v>18228.212966113286</c:v>
                </c:pt>
                <c:pt idx="12">
                  <c:v>21908.014833462901</c:v>
                </c:pt>
                <c:pt idx="13">
                  <c:v>27423.413639163031</c:v>
                </c:pt>
                <c:pt idx="14">
                  <c:v>31805.101928612396</c:v>
                </c:pt>
                <c:pt idx="15">
                  <c:v>34048.228586515383</c:v>
                </c:pt>
                <c:pt idx="16">
                  <c:v>32751.580179973025</c:v>
                </c:pt>
                <c:pt idx="17">
                  <c:v>32795.895787270485</c:v>
                </c:pt>
                <c:pt idx="18">
                  <c:v>24646.822129286618</c:v>
                </c:pt>
              </c:numCache>
            </c:numRef>
          </c:val>
        </c:ser>
        <c:ser>
          <c:idx val="2"/>
          <c:order val="2"/>
          <c:tx>
            <c:strRef>
              <c:f>'survivor decedent'!$D$1</c:f>
              <c:strCache>
                <c:ptCount val="1"/>
                <c:pt idx="0">
                  <c:v>2010</c:v>
                </c:pt>
              </c:strCache>
            </c:strRef>
          </c:tx>
          <c:invertIfNegative val="0"/>
          <c:cat>
            <c:strRef>
              <c:f>'survivor decedent'!$A$24:$A$42</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decedent'!$D$24:$D$42</c:f>
              <c:numCache>
                <c:formatCode>General</c:formatCode>
                <c:ptCount val="19"/>
                <c:pt idx="0">
                  <c:v>5280.5605967981101</c:v>
                </c:pt>
                <c:pt idx="1">
                  <c:v>3161.9858983563781</c:v>
                </c:pt>
                <c:pt idx="2">
                  <c:v>3083.4726144782057</c:v>
                </c:pt>
                <c:pt idx="3">
                  <c:v>4431.9624648770669</c:v>
                </c:pt>
                <c:pt idx="4">
                  <c:v>7526.4898717104415</c:v>
                </c:pt>
                <c:pt idx="5">
                  <c:v>10914.970694256157</c:v>
                </c:pt>
                <c:pt idx="6">
                  <c:v>11689.542518078604</c:v>
                </c:pt>
                <c:pt idx="7">
                  <c:v>11734.641417153434</c:v>
                </c:pt>
                <c:pt idx="8">
                  <c:v>11878.793247474627</c:v>
                </c:pt>
                <c:pt idx="9">
                  <c:v>12744.031900625649</c:v>
                </c:pt>
                <c:pt idx="10">
                  <c:v>14745.387109725634</c:v>
                </c:pt>
                <c:pt idx="11">
                  <c:v>17453.788468383718</c:v>
                </c:pt>
                <c:pt idx="12">
                  <c:v>21258.50785382072</c:v>
                </c:pt>
                <c:pt idx="13">
                  <c:v>25968.347975938897</c:v>
                </c:pt>
                <c:pt idx="14">
                  <c:v>29578.915817980356</c:v>
                </c:pt>
                <c:pt idx="15">
                  <c:v>30965.62957610661</c:v>
                </c:pt>
                <c:pt idx="16">
                  <c:v>31893.20474962176</c:v>
                </c:pt>
                <c:pt idx="17">
                  <c:v>30263.551278669263</c:v>
                </c:pt>
                <c:pt idx="18">
                  <c:v>22438.497005521269</c:v>
                </c:pt>
              </c:numCache>
            </c:numRef>
          </c:val>
        </c:ser>
        <c:ser>
          <c:idx val="3"/>
          <c:order val="3"/>
          <c:tx>
            <c:strRef>
              <c:f>'survivor decedent'!$E$1</c:f>
              <c:strCache>
                <c:ptCount val="1"/>
                <c:pt idx="0">
                  <c:v>2011</c:v>
                </c:pt>
              </c:strCache>
            </c:strRef>
          </c:tx>
          <c:invertIfNegative val="0"/>
          <c:cat>
            <c:strRef>
              <c:f>'survivor decedent'!$A$24:$A$42</c:f>
              <c:strCache>
                <c:ptCount val="19"/>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c:v>
                </c:pt>
              </c:strCache>
            </c:strRef>
          </c:cat>
          <c:val>
            <c:numRef>
              <c:f>'survivor decedent'!$E$24:$E$42</c:f>
              <c:numCache>
                <c:formatCode>General</c:formatCode>
                <c:ptCount val="19"/>
                <c:pt idx="0">
                  <c:v>5177.3815208499955</c:v>
                </c:pt>
                <c:pt idx="1">
                  <c:v>3167.3641053030001</c:v>
                </c:pt>
                <c:pt idx="2">
                  <c:v>3126.5488792985007</c:v>
                </c:pt>
                <c:pt idx="3">
                  <c:v>4478.5789344412951</c:v>
                </c:pt>
                <c:pt idx="4">
                  <c:v>7375.8175959636419</c:v>
                </c:pt>
                <c:pt idx="5">
                  <c:v>10742.360172408906</c:v>
                </c:pt>
                <c:pt idx="6">
                  <c:v>11443.16284644404</c:v>
                </c:pt>
                <c:pt idx="7">
                  <c:v>11695.064047473303</c:v>
                </c:pt>
                <c:pt idx="8">
                  <c:v>11733.089520563326</c:v>
                </c:pt>
                <c:pt idx="9">
                  <c:v>12768.903187712373</c:v>
                </c:pt>
                <c:pt idx="10">
                  <c:v>14784.84199239109</c:v>
                </c:pt>
                <c:pt idx="11">
                  <c:v>17372.803033972352</c:v>
                </c:pt>
                <c:pt idx="12">
                  <c:v>21373.981096108157</c:v>
                </c:pt>
                <c:pt idx="13">
                  <c:v>26660.472555454118</c:v>
                </c:pt>
                <c:pt idx="14">
                  <c:v>30419.994461513288</c:v>
                </c:pt>
                <c:pt idx="15">
                  <c:v>32401.671583306703</c:v>
                </c:pt>
                <c:pt idx="16">
                  <c:v>33027.308085545112</c:v>
                </c:pt>
                <c:pt idx="17">
                  <c:v>31329.116139634356</c:v>
                </c:pt>
                <c:pt idx="18">
                  <c:v>25251.144791232848</c:v>
                </c:pt>
              </c:numCache>
            </c:numRef>
          </c:val>
        </c:ser>
        <c:dLbls>
          <c:showLegendKey val="0"/>
          <c:showVal val="0"/>
          <c:showCatName val="0"/>
          <c:showSerName val="0"/>
          <c:showPercent val="0"/>
          <c:showBubbleSize val="0"/>
        </c:dLbls>
        <c:gapWidth val="150"/>
        <c:axId val="190919808"/>
        <c:axId val="190921728"/>
      </c:barChart>
      <c:catAx>
        <c:axId val="190919808"/>
        <c:scaling>
          <c:orientation val="minMax"/>
        </c:scaling>
        <c:delete val="0"/>
        <c:axPos val="b"/>
        <c:title>
          <c:tx>
            <c:rich>
              <a:bodyPr/>
              <a:lstStyle/>
              <a:p>
                <a:pPr>
                  <a:defRPr/>
                </a:pPr>
                <a:r>
                  <a:rPr lang="en-US"/>
                  <a:t>Age Bands</a:t>
                </a:r>
              </a:p>
            </c:rich>
          </c:tx>
          <c:overlay val="0"/>
        </c:title>
        <c:majorTickMark val="out"/>
        <c:minorTickMark val="none"/>
        <c:tickLblPos val="nextTo"/>
        <c:crossAx val="190921728"/>
        <c:crosses val="autoZero"/>
        <c:auto val="1"/>
        <c:lblAlgn val="ctr"/>
        <c:lblOffset val="100"/>
        <c:noMultiLvlLbl val="0"/>
      </c:catAx>
      <c:valAx>
        <c:axId val="190921728"/>
        <c:scaling>
          <c:orientation val="minMax"/>
        </c:scaling>
        <c:delete val="0"/>
        <c:axPos val="l"/>
        <c:majorGridlines/>
        <c:title>
          <c:tx>
            <c:rich>
              <a:bodyPr rot="-5400000" vert="horz"/>
              <a:lstStyle/>
              <a:p>
                <a:pPr>
                  <a:defRPr/>
                </a:pPr>
                <a:r>
                  <a:rPr lang="en-US"/>
                  <a:t>Average Claimed Amount</a:t>
                </a:r>
              </a:p>
            </c:rich>
          </c:tx>
          <c:overlay val="0"/>
        </c:title>
        <c:numFmt formatCode="#,##0" sourceLinked="0"/>
        <c:majorTickMark val="out"/>
        <c:minorTickMark val="none"/>
        <c:tickLblPos val="nextTo"/>
        <c:crossAx val="190919808"/>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2008</c:v>
                </c:pt>
              </c:strCache>
            </c:strRef>
          </c:tx>
          <c:invertIfNegative val="0"/>
          <c:cat>
            <c:strRef>
              <c:f>Sheet1!$A$2:$A$15</c:f>
              <c:strCache>
                <c:ptCount val="14"/>
                <c:pt idx="0">
                  <c:v>Acute Medicines</c:v>
                </c:pt>
                <c:pt idx="1">
                  <c:v>Anti- Retroviral Therapy</c:v>
                </c:pt>
                <c:pt idx="2">
                  <c:v>Auxiliary</c:v>
                </c:pt>
                <c:pt idx="3">
                  <c:v>Chronic Medicines</c:v>
                </c:pt>
                <c:pt idx="4">
                  <c:v>Dental</c:v>
                </c:pt>
                <c:pt idx="5">
                  <c:v>General Practitioner</c:v>
                </c:pt>
                <c:pt idx="6">
                  <c:v>Hospital</c:v>
                </c:pt>
                <c:pt idx="7">
                  <c:v>Medical Specialist</c:v>
                </c:pt>
                <c:pt idx="8">
                  <c:v>Optical</c:v>
                </c:pt>
                <c:pt idx="9">
                  <c:v>Pathology</c:v>
                </c:pt>
                <c:pt idx="10">
                  <c:v>Radiation/Oncology</c:v>
                </c:pt>
                <c:pt idx="11">
                  <c:v>Radiology</c:v>
                </c:pt>
                <c:pt idx="12">
                  <c:v>Special Benefits</c:v>
                </c:pt>
                <c:pt idx="13">
                  <c:v>Unknown</c:v>
                </c:pt>
              </c:strCache>
            </c:strRef>
          </c:cat>
          <c:val>
            <c:numRef>
              <c:f>Sheet1!$B$2:$B$15</c:f>
              <c:numCache>
                <c:formatCode>_(* #,##0.00_);_(* \(#,##0.00\);_(* "-"??_);_(@_)</c:formatCode>
                <c:ptCount val="14"/>
                <c:pt idx="0">
                  <c:v>2.8355051878189772</c:v>
                </c:pt>
                <c:pt idx="1">
                  <c:v>2.4785179958438461</c:v>
                </c:pt>
                <c:pt idx="2">
                  <c:v>22.850548053774826</c:v>
                </c:pt>
                <c:pt idx="3">
                  <c:v>4.1663255038674372</c:v>
                </c:pt>
                <c:pt idx="4">
                  <c:v>0.71714392663130222</c:v>
                </c:pt>
                <c:pt idx="5">
                  <c:v>2.2387950081037449</c:v>
                </c:pt>
                <c:pt idx="6">
                  <c:v>24.062668288741946</c:v>
                </c:pt>
                <c:pt idx="7">
                  <c:v>10.885515086299733</c:v>
                </c:pt>
                <c:pt idx="8">
                  <c:v>0.75023012451161997</c:v>
                </c:pt>
                <c:pt idx="9">
                  <c:v>16.170111597075934</c:v>
                </c:pt>
                <c:pt idx="10">
                  <c:v>60.265542575309922</c:v>
                </c:pt>
                <c:pt idx="11">
                  <c:v>12.69345798459832</c:v>
                </c:pt>
                <c:pt idx="12">
                  <c:v>33.539959053881773</c:v>
                </c:pt>
                <c:pt idx="13">
                  <c:v>3.3533410283194329</c:v>
                </c:pt>
              </c:numCache>
            </c:numRef>
          </c:val>
        </c:ser>
        <c:ser>
          <c:idx val="1"/>
          <c:order val="1"/>
          <c:tx>
            <c:strRef>
              <c:f>Sheet1!$C$1</c:f>
              <c:strCache>
                <c:ptCount val="1"/>
                <c:pt idx="0">
                  <c:v>2009</c:v>
                </c:pt>
              </c:strCache>
            </c:strRef>
          </c:tx>
          <c:invertIfNegative val="0"/>
          <c:cat>
            <c:strRef>
              <c:f>Sheet1!$A$2:$A$15</c:f>
              <c:strCache>
                <c:ptCount val="14"/>
                <c:pt idx="0">
                  <c:v>Acute Medicines</c:v>
                </c:pt>
                <c:pt idx="1">
                  <c:v>Anti- Retroviral Therapy</c:v>
                </c:pt>
                <c:pt idx="2">
                  <c:v>Auxiliary</c:v>
                </c:pt>
                <c:pt idx="3">
                  <c:v>Chronic Medicines</c:v>
                </c:pt>
                <c:pt idx="4">
                  <c:v>Dental</c:v>
                </c:pt>
                <c:pt idx="5">
                  <c:v>General Practitioner</c:v>
                </c:pt>
                <c:pt idx="6">
                  <c:v>Hospital</c:v>
                </c:pt>
                <c:pt idx="7">
                  <c:v>Medical Specialist</c:v>
                </c:pt>
                <c:pt idx="8">
                  <c:v>Optical</c:v>
                </c:pt>
                <c:pt idx="9">
                  <c:v>Pathology</c:v>
                </c:pt>
                <c:pt idx="10">
                  <c:v>Radiation/Oncology</c:v>
                </c:pt>
                <c:pt idx="11">
                  <c:v>Radiology</c:v>
                </c:pt>
                <c:pt idx="12">
                  <c:v>Special Benefits</c:v>
                </c:pt>
                <c:pt idx="13">
                  <c:v>Unknown</c:v>
                </c:pt>
              </c:strCache>
            </c:strRef>
          </c:cat>
          <c:val>
            <c:numRef>
              <c:f>Sheet1!$C$2:$C$15</c:f>
              <c:numCache>
                <c:formatCode>_(* #,##0.00_);_(* \(#,##0.00\);_(* "-"??_);_(@_)</c:formatCode>
                <c:ptCount val="14"/>
                <c:pt idx="0">
                  <c:v>2.6132502813873311</c:v>
                </c:pt>
                <c:pt idx="1">
                  <c:v>2.5591093583004012</c:v>
                </c:pt>
                <c:pt idx="2">
                  <c:v>27.575214157333274</c:v>
                </c:pt>
                <c:pt idx="3">
                  <c:v>4.3191230467404758</c:v>
                </c:pt>
                <c:pt idx="4">
                  <c:v>0.80925351317751903</c:v>
                </c:pt>
                <c:pt idx="5">
                  <c:v>2.4841130395377942</c:v>
                </c:pt>
                <c:pt idx="6">
                  <c:v>27.182500436045174</c:v>
                </c:pt>
                <c:pt idx="7">
                  <c:v>12.52659926731353</c:v>
                </c:pt>
                <c:pt idx="8">
                  <c:v>0.87557083234773425</c:v>
                </c:pt>
                <c:pt idx="9">
                  <c:v>17.428641120320172</c:v>
                </c:pt>
                <c:pt idx="10">
                  <c:v>65.026396562242212</c:v>
                </c:pt>
                <c:pt idx="11">
                  <c:v>13.731370017051413</c:v>
                </c:pt>
                <c:pt idx="12">
                  <c:v>35.367116505639409</c:v>
                </c:pt>
                <c:pt idx="13">
                  <c:v>2.7092970469458009</c:v>
                </c:pt>
              </c:numCache>
            </c:numRef>
          </c:val>
        </c:ser>
        <c:ser>
          <c:idx val="2"/>
          <c:order val="2"/>
          <c:tx>
            <c:strRef>
              <c:f>Sheet1!$D$1</c:f>
              <c:strCache>
                <c:ptCount val="1"/>
                <c:pt idx="0">
                  <c:v>2010</c:v>
                </c:pt>
              </c:strCache>
            </c:strRef>
          </c:tx>
          <c:invertIfNegative val="0"/>
          <c:cat>
            <c:strRef>
              <c:f>Sheet1!$A$2:$A$15</c:f>
              <c:strCache>
                <c:ptCount val="14"/>
                <c:pt idx="0">
                  <c:v>Acute Medicines</c:v>
                </c:pt>
                <c:pt idx="1">
                  <c:v>Anti- Retroviral Therapy</c:v>
                </c:pt>
                <c:pt idx="2">
                  <c:v>Auxiliary</c:v>
                </c:pt>
                <c:pt idx="3">
                  <c:v>Chronic Medicines</c:v>
                </c:pt>
                <c:pt idx="4">
                  <c:v>Dental</c:v>
                </c:pt>
                <c:pt idx="5">
                  <c:v>General Practitioner</c:v>
                </c:pt>
                <c:pt idx="6">
                  <c:v>Hospital</c:v>
                </c:pt>
                <c:pt idx="7">
                  <c:v>Medical Specialist</c:v>
                </c:pt>
                <c:pt idx="8">
                  <c:v>Optical</c:v>
                </c:pt>
                <c:pt idx="9">
                  <c:v>Pathology</c:v>
                </c:pt>
                <c:pt idx="10">
                  <c:v>Radiation/Oncology</c:v>
                </c:pt>
                <c:pt idx="11">
                  <c:v>Radiology</c:v>
                </c:pt>
                <c:pt idx="12">
                  <c:v>Special Benefits</c:v>
                </c:pt>
                <c:pt idx="13">
                  <c:v>Unknown</c:v>
                </c:pt>
              </c:strCache>
            </c:strRef>
          </c:cat>
          <c:val>
            <c:numRef>
              <c:f>Sheet1!$D$2:$D$15</c:f>
              <c:numCache>
                <c:formatCode>_(* #,##0.00_);_(* \(#,##0.00\);_(* "-"??_);_(@_)</c:formatCode>
                <c:ptCount val="14"/>
                <c:pt idx="0">
                  <c:v>2.644232436133092</c:v>
                </c:pt>
                <c:pt idx="1">
                  <c:v>2.9827749544557607</c:v>
                </c:pt>
                <c:pt idx="2">
                  <c:v>27.712605519289081</c:v>
                </c:pt>
                <c:pt idx="3">
                  <c:v>4.1306047328629294</c:v>
                </c:pt>
                <c:pt idx="4">
                  <c:v>0.79752081413537024</c:v>
                </c:pt>
                <c:pt idx="5">
                  <c:v>2.731709272035324</c:v>
                </c:pt>
                <c:pt idx="6">
                  <c:v>28.79731863669727</c:v>
                </c:pt>
                <c:pt idx="7">
                  <c:v>13.01344937631012</c:v>
                </c:pt>
                <c:pt idx="8">
                  <c:v>0.95579599303848561</c:v>
                </c:pt>
                <c:pt idx="9">
                  <c:v>19.110587773176739</c:v>
                </c:pt>
                <c:pt idx="10">
                  <c:v>65.059618772699793</c:v>
                </c:pt>
                <c:pt idx="11">
                  <c:v>14.68874497052354</c:v>
                </c:pt>
                <c:pt idx="12">
                  <c:v>54.687546346827133</c:v>
                </c:pt>
                <c:pt idx="13">
                  <c:v>1.2125031800128199</c:v>
                </c:pt>
              </c:numCache>
            </c:numRef>
          </c:val>
        </c:ser>
        <c:ser>
          <c:idx val="3"/>
          <c:order val="3"/>
          <c:tx>
            <c:strRef>
              <c:f>Sheet1!$E$1</c:f>
              <c:strCache>
                <c:ptCount val="1"/>
                <c:pt idx="0">
                  <c:v>2011</c:v>
                </c:pt>
              </c:strCache>
            </c:strRef>
          </c:tx>
          <c:invertIfNegative val="0"/>
          <c:cat>
            <c:strRef>
              <c:f>Sheet1!$A$2:$A$15</c:f>
              <c:strCache>
                <c:ptCount val="14"/>
                <c:pt idx="0">
                  <c:v>Acute Medicines</c:v>
                </c:pt>
                <c:pt idx="1">
                  <c:v>Anti- Retroviral Therapy</c:v>
                </c:pt>
                <c:pt idx="2">
                  <c:v>Auxiliary</c:v>
                </c:pt>
                <c:pt idx="3">
                  <c:v>Chronic Medicines</c:v>
                </c:pt>
                <c:pt idx="4">
                  <c:v>Dental</c:v>
                </c:pt>
                <c:pt idx="5">
                  <c:v>General Practitioner</c:v>
                </c:pt>
                <c:pt idx="6">
                  <c:v>Hospital</c:v>
                </c:pt>
                <c:pt idx="7">
                  <c:v>Medical Specialist</c:v>
                </c:pt>
                <c:pt idx="8">
                  <c:v>Optical</c:v>
                </c:pt>
                <c:pt idx="9">
                  <c:v>Pathology</c:v>
                </c:pt>
                <c:pt idx="10">
                  <c:v>Radiation/Oncology</c:v>
                </c:pt>
                <c:pt idx="11">
                  <c:v>Radiology</c:v>
                </c:pt>
                <c:pt idx="12">
                  <c:v>Special Benefits</c:v>
                </c:pt>
                <c:pt idx="13">
                  <c:v>Unknown</c:v>
                </c:pt>
              </c:strCache>
            </c:strRef>
          </c:cat>
          <c:val>
            <c:numRef>
              <c:f>Sheet1!$E$2:$E$15</c:f>
              <c:numCache>
                <c:formatCode>_(* #,##0.00_);_(* \(#,##0.00\);_(* "-"??_);_(@_)</c:formatCode>
                <c:ptCount val="14"/>
                <c:pt idx="0">
                  <c:v>2.7110848574330548</c:v>
                </c:pt>
                <c:pt idx="1">
                  <c:v>2.671496622296083</c:v>
                </c:pt>
                <c:pt idx="2">
                  <c:v>38.502651243617748</c:v>
                </c:pt>
                <c:pt idx="3">
                  <c:v>4.2152516833531521</c:v>
                </c:pt>
                <c:pt idx="4">
                  <c:v>0.78544663356050526</c:v>
                </c:pt>
                <c:pt idx="5">
                  <c:v>3.5453669177993801</c:v>
                </c:pt>
                <c:pt idx="6">
                  <c:v>44.793187336815556</c:v>
                </c:pt>
                <c:pt idx="7">
                  <c:v>19.842586344796263</c:v>
                </c:pt>
                <c:pt idx="8">
                  <c:v>1.0128118381587934</c:v>
                </c:pt>
                <c:pt idx="9">
                  <c:v>28.950053135122086</c:v>
                </c:pt>
                <c:pt idx="10">
                  <c:v>70.514122003076423</c:v>
                </c:pt>
                <c:pt idx="11">
                  <c:v>20.413776102730086</c:v>
                </c:pt>
                <c:pt idx="12">
                  <c:v>68.451592233957072</c:v>
                </c:pt>
                <c:pt idx="13">
                  <c:v>2.6827550544757939</c:v>
                </c:pt>
              </c:numCache>
            </c:numRef>
          </c:val>
        </c:ser>
        <c:dLbls>
          <c:showLegendKey val="0"/>
          <c:showVal val="0"/>
          <c:showCatName val="0"/>
          <c:showSerName val="0"/>
          <c:showPercent val="0"/>
          <c:showBubbleSize val="0"/>
        </c:dLbls>
        <c:gapWidth val="150"/>
        <c:axId val="190957056"/>
        <c:axId val="190958592"/>
      </c:barChart>
      <c:catAx>
        <c:axId val="190957056"/>
        <c:scaling>
          <c:orientation val="minMax"/>
        </c:scaling>
        <c:delete val="0"/>
        <c:axPos val="b"/>
        <c:majorTickMark val="out"/>
        <c:minorTickMark val="none"/>
        <c:tickLblPos val="nextTo"/>
        <c:crossAx val="190958592"/>
        <c:crosses val="autoZero"/>
        <c:auto val="1"/>
        <c:lblAlgn val="ctr"/>
        <c:lblOffset val="100"/>
        <c:noMultiLvlLbl val="0"/>
      </c:catAx>
      <c:valAx>
        <c:axId val="190958592"/>
        <c:scaling>
          <c:orientation val="minMax"/>
        </c:scaling>
        <c:delete val="0"/>
        <c:axPos val="l"/>
        <c:majorGridlines/>
        <c:title>
          <c:tx>
            <c:rich>
              <a:bodyPr rot="-5400000" vert="horz"/>
              <a:lstStyle/>
              <a:p>
                <a:pPr>
                  <a:defRPr/>
                </a:pPr>
                <a:r>
                  <a:rPr lang="en-US"/>
                  <a:t>Ratio</a:t>
                </a:r>
              </a:p>
            </c:rich>
          </c:tx>
          <c:overlay val="0"/>
        </c:title>
        <c:numFmt formatCode="#,##0" sourceLinked="0"/>
        <c:majorTickMark val="out"/>
        <c:minorTickMark val="none"/>
        <c:tickLblPos val="nextTo"/>
        <c:crossAx val="190957056"/>
        <c:crosses val="autoZero"/>
        <c:crossBetween val="between"/>
      </c:valAx>
    </c:plotArea>
    <c:legend>
      <c:legendPos val="r"/>
      <c:layout>
        <c:manualLayout>
          <c:xMode val="edge"/>
          <c:yMode val="edge"/>
          <c:x val="0.884381894791887"/>
          <c:y val="8.2565616797900324E-2"/>
          <c:w val="9.5183877877334302E-2"/>
          <c:h val="0.3348687664042003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D1A4-7CF3-4256-A55D-BF7F913C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11091</Words>
  <Characters>63224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DQ35JOE</dc:creator>
  <cp:lastModifiedBy>Shivani Ramjee</cp:lastModifiedBy>
  <cp:revision>2</cp:revision>
  <dcterms:created xsi:type="dcterms:W3CDTF">2013-06-01T04:02:00Z</dcterms:created>
  <dcterms:modified xsi:type="dcterms:W3CDTF">2013-06-01T04:02:00Z</dcterms:modified>
</cp:coreProperties>
</file>