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mallCaps/>
          <w:lang w:val="en-ZA"/>
        </w:rPr>
        <w:id w:val="27509594"/>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576"/>
          </w:tblGrid>
          <w:tr w:rsidR="005079CB" w:rsidRPr="005E4243" w:rsidTr="007824AC">
            <w:trPr>
              <w:trHeight w:val="1843"/>
              <w:jc w:val="center"/>
            </w:trPr>
            <w:tc>
              <w:tcPr>
                <w:tcW w:w="5000" w:type="pct"/>
              </w:tcPr>
              <w:p w:rsidR="005079CB" w:rsidRPr="005E4243" w:rsidRDefault="005079CB" w:rsidP="004E6F9F">
                <w:pPr>
                  <w:pStyle w:val="NoSpacing"/>
                  <w:spacing w:line="360" w:lineRule="auto"/>
                  <w:jc w:val="center"/>
                  <w:rPr>
                    <w:rFonts w:asciiTheme="majorHAnsi" w:eastAsiaTheme="majorEastAsia" w:hAnsiTheme="majorHAnsi" w:cstheme="majorBidi"/>
                    <w:caps/>
                    <w:smallCaps/>
                    <w:lang w:val="en-ZA"/>
                  </w:rPr>
                </w:pPr>
              </w:p>
            </w:tc>
          </w:tr>
          <w:tr w:rsidR="005079CB" w:rsidRPr="005E4243">
            <w:trPr>
              <w:trHeight w:val="1440"/>
              <w:jc w:val="center"/>
            </w:trPr>
            <w:sdt>
              <w:sdtPr>
                <w:rPr>
                  <w:rFonts w:asciiTheme="majorHAnsi" w:eastAsiaTheme="majorEastAsia" w:hAnsiTheme="majorHAnsi" w:cstheme="majorBidi"/>
                  <w:smallCaps/>
                  <w:sz w:val="44"/>
                  <w:szCs w:val="44"/>
                  <w:lang w:val="en-ZA"/>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5079CB" w:rsidRPr="005E4243" w:rsidRDefault="00F843ED" w:rsidP="00F843ED">
                    <w:pPr>
                      <w:pStyle w:val="NoSpacing"/>
                      <w:spacing w:line="360" w:lineRule="auto"/>
                      <w:jc w:val="center"/>
                      <w:rPr>
                        <w:rFonts w:asciiTheme="majorHAnsi" w:eastAsiaTheme="majorEastAsia" w:hAnsiTheme="majorHAnsi" w:cstheme="majorBidi"/>
                        <w:smallCaps/>
                        <w:sz w:val="80"/>
                        <w:szCs w:val="80"/>
                        <w:lang w:val="en-ZA"/>
                      </w:rPr>
                    </w:pPr>
                    <w:r w:rsidRPr="00F843ED">
                      <w:rPr>
                        <w:rFonts w:asciiTheme="majorHAnsi" w:eastAsiaTheme="majorEastAsia" w:hAnsiTheme="majorHAnsi" w:cstheme="majorBidi"/>
                        <w:smallCaps/>
                        <w:sz w:val="44"/>
                        <w:szCs w:val="44"/>
                        <w:lang w:val="en-ZA"/>
                      </w:rPr>
                      <w:t>Investigation of Hedging Strategies between Assurances And Annuities for the Purpose of Mitigating Longevity Risk</w:t>
                    </w:r>
                  </w:p>
                </w:tc>
              </w:sdtContent>
            </w:sdt>
          </w:tr>
          <w:tr w:rsidR="00F843ED" w:rsidRPr="005E4243">
            <w:trPr>
              <w:trHeight w:val="360"/>
              <w:jc w:val="center"/>
            </w:trPr>
            <w:tc>
              <w:tcPr>
                <w:tcW w:w="5000" w:type="pct"/>
                <w:vAlign w:val="center"/>
              </w:tcPr>
              <w:p w:rsidR="00F843ED" w:rsidRDefault="00F843ED" w:rsidP="00F843ED">
                <w:pPr>
                  <w:pStyle w:val="NoSpacing"/>
                  <w:spacing w:line="360" w:lineRule="auto"/>
                  <w:jc w:val="center"/>
                  <w:rPr>
                    <w:rFonts w:asciiTheme="majorHAnsi" w:eastAsiaTheme="minorHAnsi" w:hAnsiTheme="majorHAnsi" w:cs="URWPalladioL-Roma"/>
                    <w:sz w:val="28"/>
                    <w:szCs w:val="28"/>
                    <w:lang w:val="en-ZA"/>
                  </w:rPr>
                </w:pPr>
              </w:p>
              <w:p w:rsidR="00F843ED" w:rsidRDefault="00F843ED" w:rsidP="00F843ED">
                <w:pPr>
                  <w:pStyle w:val="NoSpacing"/>
                  <w:spacing w:line="360" w:lineRule="auto"/>
                  <w:jc w:val="center"/>
                  <w:rPr>
                    <w:rFonts w:asciiTheme="majorHAnsi" w:eastAsiaTheme="minorHAnsi" w:hAnsiTheme="majorHAnsi" w:cs="URWPalladioL-Roma"/>
                    <w:sz w:val="28"/>
                    <w:szCs w:val="28"/>
                    <w:lang w:val="en-ZA"/>
                  </w:rPr>
                </w:pPr>
                <w:r>
                  <w:rPr>
                    <w:rFonts w:asciiTheme="majorHAnsi" w:eastAsiaTheme="minorHAnsi" w:hAnsiTheme="majorHAnsi" w:cs="URWPalladioL-Roma"/>
                    <w:sz w:val="28"/>
                    <w:szCs w:val="28"/>
                    <w:lang w:val="en-ZA"/>
                  </w:rPr>
                  <w:t>by</w:t>
                </w:r>
              </w:p>
              <w:p w:rsidR="007824AC" w:rsidRDefault="00F843ED" w:rsidP="00F843ED">
                <w:pPr>
                  <w:pStyle w:val="NoSpacing"/>
                  <w:spacing w:line="360" w:lineRule="auto"/>
                  <w:jc w:val="center"/>
                  <w:rPr>
                    <w:rFonts w:asciiTheme="majorHAnsi" w:eastAsiaTheme="minorHAnsi" w:hAnsiTheme="majorHAnsi" w:cs="URWPalladioL-Roma"/>
                    <w:sz w:val="28"/>
                    <w:szCs w:val="28"/>
                    <w:lang w:val="en-ZA"/>
                  </w:rPr>
                </w:pPr>
                <w:proofErr w:type="spellStart"/>
                <w:r w:rsidRPr="00FC3D1A">
                  <w:rPr>
                    <w:rFonts w:asciiTheme="majorHAnsi" w:eastAsiaTheme="minorHAnsi" w:hAnsiTheme="majorHAnsi" w:cs="URWPalladioL-Roma"/>
                    <w:sz w:val="28"/>
                    <w:szCs w:val="28"/>
                    <w:lang w:val="en-ZA"/>
                  </w:rPr>
                  <w:t>Frans</w:t>
                </w:r>
                <w:proofErr w:type="spellEnd"/>
                <w:r w:rsidRPr="00FC3D1A">
                  <w:rPr>
                    <w:rFonts w:asciiTheme="majorHAnsi" w:eastAsiaTheme="minorHAnsi" w:hAnsiTheme="majorHAnsi" w:cs="URWPalladioL-Roma"/>
                    <w:sz w:val="28"/>
                    <w:szCs w:val="28"/>
                    <w:lang w:val="en-ZA"/>
                  </w:rPr>
                  <w:t xml:space="preserve"> </w:t>
                </w:r>
                <w:r>
                  <w:rPr>
                    <w:rFonts w:asciiTheme="majorHAnsi" w:eastAsiaTheme="minorHAnsi" w:hAnsiTheme="majorHAnsi" w:cs="URWPalladioL-Roma"/>
                    <w:sz w:val="28"/>
                    <w:szCs w:val="28"/>
                    <w:lang w:val="en-ZA"/>
                  </w:rPr>
                  <w:t xml:space="preserve">F. </w:t>
                </w:r>
                <w:proofErr w:type="spellStart"/>
                <w:r w:rsidRPr="00FC3D1A">
                  <w:rPr>
                    <w:rFonts w:asciiTheme="majorHAnsi" w:eastAsiaTheme="minorHAnsi" w:hAnsiTheme="majorHAnsi" w:cs="URWPalladioL-Roma"/>
                    <w:sz w:val="28"/>
                    <w:szCs w:val="28"/>
                    <w:lang w:val="en-ZA"/>
                  </w:rPr>
                  <w:t>Koning</w:t>
                </w:r>
                <w:proofErr w:type="spellEnd"/>
                <w:r>
                  <w:rPr>
                    <w:rFonts w:asciiTheme="majorHAnsi" w:eastAsiaTheme="minorHAnsi" w:hAnsiTheme="majorHAnsi" w:cs="URWPalladioL-Roma"/>
                    <w:sz w:val="28"/>
                    <w:szCs w:val="28"/>
                    <w:lang w:val="en-ZA"/>
                  </w:rPr>
                  <w:t xml:space="preserve"> </w:t>
                </w:r>
              </w:p>
              <w:p w:rsidR="007824AC" w:rsidRDefault="00F843ED" w:rsidP="00F843ED">
                <w:pPr>
                  <w:pStyle w:val="NoSpacing"/>
                  <w:spacing w:line="360" w:lineRule="auto"/>
                  <w:jc w:val="center"/>
                  <w:rPr>
                    <w:rFonts w:asciiTheme="majorHAnsi" w:eastAsiaTheme="minorHAnsi" w:hAnsiTheme="majorHAnsi" w:cs="URWPalladioL-Roma"/>
                    <w:sz w:val="28"/>
                    <w:szCs w:val="28"/>
                    <w:lang w:val="en-ZA"/>
                  </w:rPr>
                </w:pPr>
                <w:r>
                  <w:rPr>
                    <w:rFonts w:asciiTheme="majorHAnsi" w:eastAsiaTheme="minorHAnsi" w:hAnsiTheme="majorHAnsi" w:cs="URWPalladioL-Roma"/>
                    <w:sz w:val="28"/>
                    <w:szCs w:val="28"/>
                    <w:lang w:val="en-ZA"/>
                  </w:rPr>
                  <w:t>F</w:t>
                </w:r>
                <w:r w:rsidR="007824AC">
                  <w:rPr>
                    <w:rFonts w:asciiTheme="majorHAnsi" w:eastAsiaTheme="minorHAnsi" w:hAnsiTheme="majorHAnsi" w:cs="URWPalladioL-Roma"/>
                    <w:sz w:val="28"/>
                    <w:szCs w:val="28"/>
                    <w:lang w:val="en-ZA"/>
                  </w:rPr>
                  <w:t xml:space="preserve">ellow of the </w:t>
                </w:r>
                <w:r>
                  <w:rPr>
                    <w:rFonts w:asciiTheme="majorHAnsi" w:eastAsiaTheme="minorHAnsi" w:hAnsiTheme="majorHAnsi" w:cs="URWPalladioL-Roma"/>
                    <w:sz w:val="28"/>
                    <w:szCs w:val="28"/>
                    <w:lang w:val="en-ZA"/>
                  </w:rPr>
                  <w:t>A</w:t>
                </w:r>
                <w:r w:rsidR="007824AC">
                  <w:rPr>
                    <w:rFonts w:asciiTheme="majorHAnsi" w:eastAsiaTheme="minorHAnsi" w:hAnsiTheme="majorHAnsi" w:cs="URWPalladioL-Roma"/>
                    <w:sz w:val="28"/>
                    <w:szCs w:val="28"/>
                    <w:lang w:val="en-ZA"/>
                  </w:rPr>
                  <w:t xml:space="preserve">ctuarial </w:t>
                </w:r>
                <w:r>
                  <w:rPr>
                    <w:rFonts w:asciiTheme="majorHAnsi" w:eastAsiaTheme="minorHAnsi" w:hAnsiTheme="majorHAnsi" w:cs="URWPalladioL-Roma"/>
                    <w:sz w:val="28"/>
                    <w:szCs w:val="28"/>
                    <w:lang w:val="en-ZA"/>
                  </w:rPr>
                  <w:t>S</w:t>
                </w:r>
                <w:r w:rsidR="007824AC">
                  <w:rPr>
                    <w:rFonts w:asciiTheme="majorHAnsi" w:eastAsiaTheme="minorHAnsi" w:hAnsiTheme="majorHAnsi" w:cs="URWPalladioL-Roma"/>
                    <w:sz w:val="28"/>
                    <w:szCs w:val="28"/>
                    <w:lang w:val="en-ZA"/>
                  </w:rPr>
                  <w:t xml:space="preserve">ociety of </w:t>
                </w:r>
                <w:r>
                  <w:rPr>
                    <w:rFonts w:asciiTheme="majorHAnsi" w:eastAsiaTheme="minorHAnsi" w:hAnsiTheme="majorHAnsi" w:cs="URWPalladioL-Roma"/>
                    <w:sz w:val="28"/>
                    <w:szCs w:val="28"/>
                    <w:lang w:val="en-ZA"/>
                  </w:rPr>
                  <w:t>S</w:t>
                </w:r>
                <w:r w:rsidR="007824AC">
                  <w:rPr>
                    <w:rFonts w:asciiTheme="majorHAnsi" w:eastAsiaTheme="minorHAnsi" w:hAnsiTheme="majorHAnsi" w:cs="URWPalladioL-Roma"/>
                    <w:sz w:val="28"/>
                    <w:szCs w:val="28"/>
                    <w:lang w:val="en-ZA"/>
                  </w:rPr>
                  <w:t xml:space="preserve">outh </w:t>
                </w:r>
                <w:r>
                  <w:rPr>
                    <w:rFonts w:asciiTheme="majorHAnsi" w:eastAsiaTheme="minorHAnsi" w:hAnsiTheme="majorHAnsi" w:cs="URWPalladioL-Roma"/>
                    <w:sz w:val="28"/>
                    <w:szCs w:val="28"/>
                    <w:lang w:val="en-ZA"/>
                  </w:rPr>
                  <w:t>A</w:t>
                </w:r>
                <w:r w:rsidR="007824AC">
                  <w:rPr>
                    <w:rFonts w:asciiTheme="majorHAnsi" w:eastAsiaTheme="minorHAnsi" w:hAnsiTheme="majorHAnsi" w:cs="URWPalladioL-Roma"/>
                    <w:sz w:val="28"/>
                    <w:szCs w:val="28"/>
                    <w:lang w:val="en-ZA"/>
                  </w:rPr>
                  <w:t>frica</w:t>
                </w:r>
              </w:p>
              <w:p w:rsidR="00F843ED" w:rsidRPr="00FC3D1A" w:rsidRDefault="007824AC" w:rsidP="00F843ED">
                <w:pPr>
                  <w:pStyle w:val="NoSpacing"/>
                  <w:spacing w:line="360" w:lineRule="auto"/>
                  <w:jc w:val="center"/>
                  <w:rPr>
                    <w:rFonts w:asciiTheme="majorHAnsi" w:eastAsiaTheme="minorHAnsi" w:hAnsiTheme="majorHAnsi" w:cs="URWPalladioL-Roma"/>
                    <w:sz w:val="28"/>
                    <w:szCs w:val="28"/>
                    <w:lang w:val="en-ZA"/>
                  </w:rPr>
                </w:pPr>
                <w:r>
                  <w:rPr>
                    <w:rFonts w:asciiTheme="majorHAnsi" w:eastAsiaTheme="minorHAnsi" w:hAnsiTheme="majorHAnsi" w:cs="URWPalladioL-Roma"/>
                    <w:sz w:val="28"/>
                    <w:szCs w:val="28"/>
                    <w:lang w:val="en-ZA"/>
                  </w:rPr>
                  <w:t xml:space="preserve"> Fellow of </w:t>
                </w:r>
                <w:r w:rsidRPr="007824AC">
                  <w:rPr>
                    <w:rFonts w:asciiTheme="majorHAnsi" w:eastAsiaTheme="minorHAnsi" w:hAnsiTheme="majorHAnsi" w:cs="URWPalladioL-Roma"/>
                    <w:sz w:val="28"/>
                    <w:szCs w:val="28"/>
                    <w:lang w:val="en-ZA"/>
                  </w:rPr>
                  <w:t>The Institute and Faculty of Actuaries</w:t>
                </w:r>
                <w:r>
                  <w:rPr>
                    <w:rFonts w:asciiTheme="majorHAnsi" w:eastAsiaTheme="minorHAnsi" w:hAnsiTheme="majorHAnsi" w:cs="URWPalladioL-Roma"/>
                    <w:sz w:val="28"/>
                    <w:szCs w:val="28"/>
                    <w:lang w:val="en-ZA"/>
                  </w:rPr>
                  <w:t xml:space="preserve"> UK</w:t>
                </w:r>
              </w:p>
              <w:p w:rsidR="00F843ED" w:rsidRDefault="00F843ED" w:rsidP="00F843ED">
                <w:pPr>
                  <w:pStyle w:val="NoSpacing"/>
                  <w:spacing w:line="360" w:lineRule="auto"/>
                  <w:jc w:val="center"/>
                  <w:rPr>
                    <w:rFonts w:asciiTheme="majorHAnsi" w:eastAsiaTheme="minorHAnsi" w:hAnsiTheme="majorHAnsi" w:cs="URWPalladioL-Roma"/>
                    <w:sz w:val="28"/>
                    <w:szCs w:val="28"/>
                    <w:lang w:val="en-ZA"/>
                  </w:rPr>
                </w:pPr>
              </w:p>
              <w:p w:rsidR="00F843ED" w:rsidRPr="00FC3D1A" w:rsidRDefault="00F843ED" w:rsidP="00F843ED">
                <w:pPr>
                  <w:pStyle w:val="NoSpacing"/>
                  <w:spacing w:line="360" w:lineRule="auto"/>
                  <w:jc w:val="center"/>
                  <w:rPr>
                    <w:rFonts w:asciiTheme="majorHAnsi" w:eastAsiaTheme="minorHAnsi" w:hAnsiTheme="majorHAnsi" w:cs="URWPalladioL-Roma"/>
                    <w:sz w:val="28"/>
                    <w:szCs w:val="28"/>
                    <w:lang w:val="en-ZA"/>
                  </w:rPr>
                </w:pPr>
              </w:p>
            </w:tc>
          </w:tr>
          <w:tr w:rsidR="00F843ED" w:rsidRPr="005E4243">
            <w:trPr>
              <w:trHeight w:val="360"/>
              <w:jc w:val="center"/>
            </w:trPr>
            <w:tc>
              <w:tcPr>
                <w:tcW w:w="5000" w:type="pct"/>
                <w:vAlign w:val="center"/>
              </w:tcPr>
              <w:p w:rsidR="00F843ED" w:rsidRDefault="00F843ED" w:rsidP="00F843ED">
                <w:pPr>
                  <w:pStyle w:val="NoSpacing"/>
                  <w:spacing w:line="360" w:lineRule="auto"/>
                  <w:jc w:val="center"/>
                  <w:rPr>
                    <w:rFonts w:asciiTheme="majorHAnsi" w:eastAsiaTheme="minorHAnsi" w:hAnsiTheme="majorHAnsi" w:cs="URWPalladioL-Roma"/>
                    <w:sz w:val="28"/>
                    <w:szCs w:val="28"/>
                    <w:lang w:val="en-ZA"/>
                  </w:rPr>
                </w:pPr>
              </w:p>
              <w:p w:rsidR="00F843ED" w:rsidRDefault="00F843ED" w:rsidP="00F843ED">
                <w:pPr>
                  <w:pStyle w:val="NoSpacing"/>
                  <w:spacing w:line="360" w:lineRule="auto"/>
                  <w:jc w:val="center"/>
                  <w:rPr>
                    <w:rFonts w:asciiTheme="majorHAnsi" w:eastAsiaTheme="minorHAnsi" w:hAnsiTheme="majorHAnsi" w:cs="URWPalladioL-Roma"/>
                    <w:sz w:val="28"/>
                    <w:szCs w:val="28"/>
                    <w:lang w:val="en-ZA"/>
                  </w:rPr>
                </w:pPr>
                <w:r>
                  <w:rPr>
                    <w:rFonts w:asciiTheme="majorHAnsi" w:eastAsiaTheme="minorHAnsi" w:hAnsiTheme="majorHAnsi" w:cs="URWPalladioL-Roma"/>
                    <w:sz w:val="28"/>
                    <w:szCs w:val="28"/>
                    <w:lang w:val="en-ZA"/>
                  </w:rPr>
                  <w:t>THE FACULTY OF NATURAL AND AGRICULTURAL SCIENCE</w:t>
                </w:r>
              </w:p>
              <w:p w:rsidR="00F843ED" w:rsidRDefault="00F843ED" w:rsidP="00F843ED">
                <w:pPr>
                  <w:pStyle w:val="NoSpacing"/>
                  <w:spacing w:line="360" w:lineRule="auto"/>
                  <w:jc w:val="center"/>
                  <w:rPr>
                    <w:rFonts w:asciiTheme="majorHAnsi" w:eastAsiaTheme="minorHAnsi" w:hAnsiTheme="majorHAnsi" w:cs="URWPalladioL-Roma"/>
                    <w:sz w:val="28"/>
                    <w:szCs w:val="28"/>
                    <w:lang w:val="en-ZA"/>
                  </w:rPr>
                </w:pPr>
                <w:r>
                  <w:rPr>
                    <w:rFonts w:asciiTheme="majorHAnsi" w:eastAsiaTheme="minorHAnsi" w:hAnsiTheme="majorHAnsi" w:cs="URWPalladioL-Roma"/>
                    <w:sz w:val="28"/>
                    <w:szCs w:val="28"/>
                    <w:lang w:val="en-ZA"/>
                  </w:rPr>
                  <w:t>DEPARTMENT OF MATHEMATICAL STATISTICS AND ACTUARIAL SCIENCE</w:t>
                </w:r>
              </w:p>
              <w:p w:rsidR="00F843ED" w:rsidRDefault="00F843ED" w:rsidP="00F843ED">
                <w:pPr>
                  <w:pStyle w:val="NoSpacing"/>
                  <w:spacing w:line="360" w:lineRule="auto"/>
                  <w:jc w:val="center"/>
                  <w:rPr>
                    <w:rFonts w:asciiTheme="majorHAnsi" w:eastAsiaTheme="minorHAnsi" w:hAnsiTheme="majorHAnsi" w:cs="URWPalladioL-Roma"/>
                    <w:sz w:val="28"/>
                    <w:szCs w:val="28"/>
                    <w:lang w:val="en-ZA"/>
                  </w:rPr>
                </w:pPr>
                <w:r>
                  <w:rPr>
                    <w:rFonts w:asciiTheme="majorHAnsi" w:eastAsiaTheme="minorHAnsi" w:hAnsiTheme="majorHAnsi" w:cs="URWPalladioL-Roma"/>
                    <w:sz w:val="28"/>
                    <w:szCs w:val="28"/>
                    <w:lang w:val="en-ZA"/>
                  </w:rPr>
                  <w:t>UNIVERSITY OF THE FREE STATE</w:t>
                </w:r>
              </w:p>
              <w:p w:rsidR="00F843ED" w:rsidRDefault="00F843ED" w:rsidP="00F843ED">
                <w:pPr>
                  <w:pStyle w:val="NoSpacing"/>
                  <w:spacing w:line="360" w:lineRule="auto"/>
                  <w:jc w:val="center"/>
                  <w:rPr>
                    <w:rFonts w:asciiTheme="majorHAnsi" w:eastAsiaTheme="minorHAnsi" w:hAnsiTheme="majorHAnsi" w:cs="URWPalladioL-Roma"/>
                    <w:sz w:val="28"/>
                    <w:szCs w:val="28"/>
                    <w:lang w:val="en-ZA"/>
                  </w:rPr>
                </w:pPr>
                <w:r>
                  <w:rPr>
                    <w:rFonts w:asciiTheme="majorHAnsi" w:eastAsiaTheme="minorHAnsi" w:hAnsiTheme="majorHAnsi" w:cs="URWPalladioL-Roma"/>
                    <w:sz w:val="28"/>
                    <w:szCs w:val="28"/>
                    <w:lang w:val="en-ZA"/>
                  </w:rPr>
                  <w:t>BLOEMFONTEIN, SOUTH AFRICA</w:t>
                </w:r>
              </w:p>
              <w:p w:rsidR="00F843ED" w:rsidRDefault="00F843ED" w:rsidP="00F843ED">
                <w:pPr>
                  <w:pStyle w:val="NoSpacing"/>
                  <w:spacing w:line="360" w:lineRule="auto"/>
                  <w:jc w:val="center"/>
                  <w:rPr>
                    <w:rFonts w:asciiTheme="majorHAnsi" w:eastAsiaTheme="minorHAnsi" w:hAnsiTheme="majorHAnsi" w:cs="URWPalladioL-Roma"/>
                    <w:sz w:val="28"/>
                    <w:szCs w:val="28"/>
                    <w:lang w:val="en-ZA"/>
                  </w:rPr>
                </w:pPr>
                <w:r>
                  <w:rPr>
                    <w:rFonts w:asciiTheme="majorHAnsi" w:eastAsiaTheme="minorHAnsi" w:hAnsiTheme="majorHAnsi" w:cs="URWPalladioL-Roma"/>
                    <w:sz w:val="28"/>
                    <w:szCs w:val="28"/>
                    <w:lang w:val="en-ZA"/>
                  </w:rPr>
                  <w:t>MAY 2013</w:t>
                </w:r>
              </w:p>
              <w:p w:rsidR="00F843ED" w:rsidRPr="00FC3D1A" w:rsidRDefault="00F843ED" w:rsidP="00F843ED">
                <w:pPr>
                  <w:pStyle w:val="NoSpacing"/>
                  <w:spacing w:line="360" w:lineRule="auto"/>
                  <w:rPr>
                    <w:rFonts w:asciiTheme="majorHAnsi" w:eastAsiaTheme="minorHAnsi" w:hAnsiTheme="majorHAnsi" w:cs="URWPalladioL-Roma"/>
                    <w:sz w:val="28"/>
                    <w:szCs w:val="28"/>
                    <w:lang w:val="en-ZA"/>
                  </w:rPr>
                </w:pPr>
              </w:p>
            </w:tc>
          </w:tr>
          <w:tr w:rsidR="00F843ED" w:rsidRPr="005E4243">
            <w:trPr>
              <w:trHeight w:val="360"/>
              <w:jc w:val="center"/>
            </w:trPr>
            <w:tc>
              <w:tcPr>
                <w:tcW w:w="5000" w:type="pct"/>
                <w:vAlign w:val="center"/>
              </w:tcPr>
              <w:p w:rsidR="00F843ED" w:rsidRDefault="00F843ED" w:rsidP="00F843ED">
                <w:pPr>
                  <w:pStyle w:val="BodyText"/>
                </w:pPr>
                <w:r>
                  <w:t>(UFS)</w:t>
                </w:r>
                <w:r w:rsidRPr="00201BA9">
                  <w:t>, BLOEMFONTEIN, 9300, Republic of South Africa</w:t>
                </w:r>
                <w:r>
                  <w:t>.</w:t>
                </w:r>
              </w:p>
              <w:p w:rsidR="00F843ED" w:rsidRPr="00F014AE" w:rsidRDefault="00B51DB5" w:rsidP="00F843ED">
                <w:pPr>
                  <w:pStyle w:val="BodyText"/>
                </w:pPr>
                <w:hyperlink r:id="rId10" w:history="1">
                  <w:r w:rsidR="00F843ED" w:rsidRPr="005447CA">
                    <w:rPr>
                      <w:rStyle w:val="Hyperlink"/>
                    </w:rPr>
                    <w:t>koningf@ufs.ac.za</w:t>
                  </w:r>
                </w:hyperlink>
              </w:p>
              <w:p w:rsidR="00F843ED" w:rsidRDefault="00F843ED" w:rsidP="00F843ED">
                <w:pPr>
                  <w:pStyle w:val="NoSpacing"/>
                  <w:spacing w:line="360" w:lineRule="auto"/>
                  <w:jc w:val="center"/>
                  <w:rPr>
                    <w:rFonts w:asciiTheme="majorHAnsi" w:eastAsiaTheme="minorHAnsi" w:hAnsiTheme="majorHAnsi" w:cs="URWPalladioL-Roma"/>
                    <w:sz w:val="28"/>
                    <w:szCs w:val="28"/>
                    <w:lang w:val="en-ZA"/>
                  </w:rPr>
                </w:pPr>
              </w:p>
              <w:p w:rsidR="00F843ED" w:rsidRPr="00FC3D1A" w:rsidRDefault="00F843ED" w:rsidP="00F843ED">
                <w:pPr>
                  <w:pStyle w:val="NoSpacing"/>
                  <w:spacing w:line="360" w:lineRule="auto"/>
                  <w:jc w:val="center"/>
                  <w:rPr>
                    <w:rFonts w:asciiTheme="majorHAnsi" w:eastAsiaTheme="minorHAnsi" w:hAnsiTheme="majorHAnsi" w:cs="URWPalladioL-Roma"/>
                    <w:sz w:val="28"/>
                    <w:szCs w:val="28"/>
                    <w:lang w:val="en-ZA"/>
                  </w:rPr>
                </w:pPr>
              </w:p>
            </w:tc>
          </w:tr>
        </w:tbl>
        <w:p w:rsidR="005079CB" w:rsidRPr="005E4243" w:rsidRDefault="005079CB" w:rsidP="00324DA3">
          <w:pPr>
            <w:spacing w:line="360" w:lineRule="auto"/>
            <w:rPr>
              <w:smallCaps/>
              <w:lang w:val="en-ZA"/>
            </w:rPr>
          </w:pPr>
        </w:p>
        <w:p w:rsidR="005079CB" w:rsidRPr="005E4243" w:rsidRDefault="00B51DB5" w:rsidP="00324DA3">
          <w:pPr>
            <w:spacing w:line="360" w:lineRule="auto"/>
            <w:rPr>
              <w:smallCaps/>
              <w:lang w:val="en-ZA"/>
            </w:rPr>
          </w:pPr>
        </w:p>
      </w:sdtContent>
    </w:sdt>
    <w:p w:rsidR="00E742F3" w:rsidRDefault="00E742F3" w:rsidP="007824AC">
      <w:pPr>
        <w:pStyle w:val="Heading1"/>
        <w:rPr>
          <w:lang w:val="en-ZA"/>
        </w:rPr>
      </w:pPr>
      <w:bookmarkStart w:id="0" w:name="_Toc272154813"/>
      <w:bookmarkStart w:id="1" w:name="_Toc273542085"/>
      <w:bookmarkStart w:id="2" w:name="_Toc273962363"/>
      <w:bookmarkStart w:id="3" w:name="_Toc374709709"/>
      <w:r w:rsidRPr="00E742F3">
        <w:rPr>
          <w:lang w:val="en-ZA"/>
        </w:rPr>
        <w:t>Acknowledgements</w:t>
      </w:r>
      <w:bookmarkEnd w:id="0"/>
      <w:bookmarkEnd w:id="1"/>
      <w:bookmarkEnd w:id="2"/>
      <w:bookmarkEnd w:id="3"/>
    </w:p>
    <w:p w:rsidR="00F843ED" w:rsidRPr="00324DA3" w:rsidRDefault="00F843ED" w:rsidP="00F843ED">
      <w:pPr>
        <w:spacing w:line="360" w:lineRule="auto"/>
        <w:rPr>
          <w:sz w:val="24"/>
          <w:szCs w:val="24"/>
          <w:lang w:val="en-ZA"/>
        </w:rPr>
      </w:pPr>
      <w:r w:rsidRPr="00324DA3">
        <w:rPr>
          <w:sz w:val="24"/>
          <w:szCs w:val="24"/>
          <w:lang w:val="en-ZA"/>
        </w:rPr>
        <w:t xml:space="preserve">I hereby wish to express my gratitude to the following individuals who </w:t>
      </w:r>
      <w:r>
        <w:rPr>
          <w:sz w:val="24"/>
          <w:szCs w:val="24"/>
          <w:lang w:val="en-ZA"/>
        </w:rPr>
        <w:t>contributed in the research of this important topic</w:t>
      </w:r>
      <w:r w:rsidRPr="00324DA3">
        <w:rPr>
          <w:sz w:val="24"/>
          <w:szCs w:val="24"/>
          <w:lang w:val="en-ZA"/>
        </w:rPr>
        <w:t>:</w:t>
      </w:r>
    </w:p>
    <w:p w:rsidR="00F843ED" w:rsidRPr="00324DA3" w:rsidRDefault="00F843ED" w:rsidP="00F843ED">
      <w:pPr>
        <w:pStyle w:val="ListParagraph"/>
        <w:numPr>
          <w:ilvl w:val="0"/>
          <w:numId w:val="4"/>
        </w:numPr>
        <w:spacing w:line="360" w:lineRule="auto"/>
        <w:ind w:left="284" w:firstLine="0"/>
        <w:rPr>
          <w:sz w:val="24"/>
          <w:szCs w:val="24"/>
          <w:lang w:val="en-ZA"/>
        </w:rPr>
      </w:pPr>
      <w:proofErr w:type="spellStart"/>
      <w:r>
        <w:rPr>
          <w:sz w:val="24"/>
          <w:szCs w:val="24"/>
          <w:lang w:val="en-ZA"/>
        </w:rPr>
        <w:t>Mr.</w:t>
      </w:r>
      <w:proofErr w:type="spellEnd"/>
      <w:r>
        <w:rPr>
          <w:sz w:val="24"/>
          <w:szCs w:val="24"/>
          <w:lang w:val="en-ZA"/>
        </w:rPr>
        <w:t xml:space="preserve"> S. </w:t>
      </w:r>
      <w:proofErr w:type="spellStart"/>
      <w:r>
        <w:rPr>
          <w:sz w:val="24"/>
          <w:szCs w:val="24"/>
          <w:lang w:val="en-ZA"/>
        </w:rPr>
        <w:t>Bekker</w:t>
      </w:r>
      <w:proofErr w:type="spellEnd"/>
      <w:r>
        <w:rPr>
          <w:sz w:val="24"/>
          <w:szCs w:val="24"/>
          <w:lang w:val="en-ZA"/>
        </w:rPr>
        <w:t xml:space="preserve">, 2010 </w:t>
      </w:r>
      <w:proofErr w:type="spellStart"/>
      <w:r>
        <w:rPr>
          <w:sz w:val="24"/>
          <w:szCs w:val="24"/>
          <w:lang w:val="en-ZA"/>
        </w:rPr>
        <w:t>B.Sc.Hons</w:t>
      </w:r>
      <w:proofErr w:type="spellEnd"/>
      <w:r>
        <w:rPr>
          <w:sz w:val="24"/>
          <w:szCs w:val="24"/>
          <w:lang w:val="en-ZA"/>
        </w:rPr>
        <w:t>. Actuarial Science Research</w:t>
      </w:r>
    </w:p>
    <w:p w:rsidR="00F843ED" w:rsidRPr="00324DA3" w:rsidRDefault="00F843ED" w:rsidP="00F843ED">
      <w:pPr>
        <w:pStyle w:val="ListParagraph"/>
        <w:numPr>
          <w:ilvl w:val="0"/>
          <w:numId w:val="4"/>
        </w:numPr>
        <w:spacing w:line="360" w:lineRule="auto"/>
        <w:ind w:left="284" w:firstLine="0"/>
        <w:rPr>
          <w:sz w:val="24"/>
          <w:szCs w:val="24"/>
          <w:lang w:val="en-ZA"/>
        </w:rPr>
      </w:pPr>
      <w:proofErr w:type="spellStart"/>
      <w:r>
        <w:rPr>
          <w:sz w:val="24"/>
          <w:szCs w:val="24"/>
          <w:lang w:val="en-ZA"/>
        </w:rPr>
        <w:t>Mr.</w:t>
      </w:r>
      <w:proofErr w:type="spellEnd"/>
      <w:r>
        <w:rPr>
          <w:sz w:val="24"/>
          <w:szCs w:val="24"/>
          <w:lang w:val="en-ZA"/>
        </w:rPr>
        <w:t xml:space="preserve"> C. Gough and </w:t>
      </w:r>
      <w:proofErr w:type="spellStart"/>
      <w:r>
        <w:rPr>
          <w:sz w:val="24"/>
          <w:szCs w:val="24"/>
          <w:lang w:val="en-ZA"/>
        </w:rPr>
        <w:t>Ms.</w:t>
      </w:r>
      <w:proofErr w:type="spellEnd"/>
      <w:r>
        <w:rPr>
          <w:sz w:val="24"/>
          <w:szCs w:val="24"/>
          <w:lang w:val="en-ZA"/>
        </w:rPr>
        <w:t xml:space="preserve"> L. Henderson, 2011 </w:t>
      </w:r>
      <w:proofErr w:type="spellStart"/>
      <w:r>
        <w:rPr>
          <w:sz w:val="24"/>
          <w:szCs w:val="24"/>
          <w:lang w:val="en-ZA"/>
        </w:rPr>
        <w:t>B.Sc.Hons</w:t>
      </w:r>
      <w:proofErr w:type="spellEnd"/>
      <w:r>
        <w:rPr>
          <w:sz w:val="24"/>
          <w:szCs w:val="24"/>
          <w:lang w:val="en-ZA"/>
        </w:rPr>
        <w:t>. Actuarial Science Research</w:t>
      </w:r>
    </w:p>
    <w:p w:rsidR="00324DA3" w:rsidRDefault="00324DA3" w:rsidP="00324DA3">
      <w:pPr>
        <w:spacing w:line="360" w:lineRule="auto"/>
        <w:rPr>
          <w:lang w:val="en-ZA"/>
        </w:rPr>
      </w:pPr>
    </w:p>
    <w:p w:rsidR="00324DA3" w:rsidRDefault="00324DA3" w:rsidP="007824AC">
      <w:pPr>
        <w:pStyle w:val="Heading1"/>
        <w:rPr>
          <w:lang w:val="en-ZA"/>
        </w:rPr>
      </w:pPr>
      <w:bookmarkStart w:id="4" w:name="_Toc272154814"/>
      <w:bookmarkStart w:id="5" w:name="_Toc273542086"/>
      <w:bookmarkStart w:id="6" w:name="_Toc273962364"/>
      <w:bookmarkStart w:id="7" w:name="_Toc374709710"/>
      <w:r>
        <w:rPr>
          <w:lang w:val="en-ZA"/>
        </w:rPr>
        <w:t>Abstract</w:t>
      </w:r>
      <w:bookmarkEnd w:id="4"/>
      <w:bookmarkEnd w:id="5"/>
      <w:bookmarkEnd w:id="6"/>
      <w:bookmarkEnd w:id="7"/>
    </w:p>
    <w:p w:rsidR="00A54B59" w:rsidRDefault="00A54B59" w:rsidP="00A54B59">
      <w:pPr>
        <w:spacing w:after="240" w:line="288" w:lineRule="auto"/>
        <w:jc w:val="both"/>
      </w:pPr>
      <w:r>
        <w:rPr>
          <w:sz w:val="24"/>
        </w:rPr>
        <w:t xml:space="preserve">Longevity risk is an increasing risk factor in the world of </w:t>
      </w:r>
      <w:r w:rsidR="00EB5188">
        <w:rPr>
          <w:sz w:val="24"/>
        </w:rPr>
        <w:t xml:space="preserve">increasing </w:t>
      </w:r>
      <w:r>
        <w:rPr>
          <w:sz w:val="24"/>
        </w:rPr>
        <w:t xml:space="preserve">pensions and annuity business.  If declining the business is not an option, a method is required to </w:t>
      </w:r>
      <w:proofErr w:type="spellStart"/>
      <w:r>
        <w:rPr>
          <w:sz w:val="24"/>
        </w:rPr>
        <w:t>minimise</w:t>
      </w:r>
      <w:proofErr w:type="spellEnd"/>
      <w:r>
        <w:rPr>
          <w:sz w:val="24"/>
        </w:rPr>
        <w:t xml:space="preserve"> the risk of longevity.  T</w:t>
      </w:r>
      <w:r w:rsidRPr="00C31C8A">
        <w:rPr>
          <w:sz w:val="24"/>
        </w:rPr>
        <w:t>his research</w:t>
      </w:r>
      <w:r>
        <w:rPr>
          <w:sz w:val="24"/>
        </w:rPr>
        <w:t xml:space="preserve"> considers the</w:t>
      </w:r>
      <w:r w:rsidRPr="00C31C8A">
        <w:rPr>
          <w:sz w:val="24"/>
        </w:rPr>
        <w:t xml:space="preserve"> natural hedge </w:t>
      </w:r>
      <w:r>
        <w:rPr>
          <w:sz w:val="24"/>
        </w:rPr>
        <w:t>between annuities and assurances</w:t>
      </w:r>
      <w:r w:rsidRPr="00C31C8A">
        <w:rPr>
          <w:sz w:val="24"/>
        </w:rPr>
        <w:t>. The stability of the hedge is investigated</w:t>
      </w:r>
      <w:r>
        <w:rPr>
          <w:sz w:val="24"/>
        </w:rPr>
        <w:t>, how often rebalancing is required,</w:t>
      </w:r>
      <w:r w:rsidRPr="00C31C8A">
        <w:rPr>
          <w:sz w:val="24"/>
        </w:rPr>
        <w:t xml:space="preserve"> and the effect that a change in interest rate</w:t>
      </w:r>
      <w:r>
        <w:rPr>
          <w:sz w:val="24"/>
        </w:rPr>
        <w:t>s</w:t>
      </w:r>
      <w:r w:rsidRPr="00C31C8A">
        <w:rPr>
          <w:sz w:val="24"/>
        </w:rPr>
        <w:t xml:space="preserve"> will have</w:t>
      </w:r>
      <w:r>
        <w:rPr>
          <w:sz w:val="24"/>
        </w:rPr>
        <w:t xml:space="preserve"> on it</w:t>
      </w:r>
      <w:r w:rsidRPr="00C31C8A">
        <w:rPr>
          <w:sz w:val="24"/>
        </w:rPr>
        <w:t>.</w:t>
      </w:r>
      <w:r>
        <w:rPr>
          <w:sz w:val="24"/>
        </w:rPr>
        <w:t xml:space="preserve"> The</w:t>
      </w:r>
      <w:r w:rsidR="00EB5188">
        <w:rPr>
          <w:sz w:val="24"/>
        </w:rPr>
        <w:t xml:space="preserve"> hedge is illustrated for </w:t>
      </w:r>
      <w:r w:rsidRPr="00C31C8A">
        <w:rPr>
          <w:sz w:val="24"/>
        </w:rPr>
        <w:t>various ages</w:t>
      </w:r>
      <w:r>
        <w:rPr>
          <w:sz w:val="24"/>
        </w:rPr>
        <w:t>,</w:t>
      </w:r>
      <w:r w:rsidRPr="00C31C8A">
        <w:rPr>
          <w:sz w:val="24"/>
        </w:rPr>
        <w:t xml:space="preserve"> both </w:t>
      </w:r>
      <w:r>
        <w:rPr>
          <w:sz w:val="24"/>
        </w:rPr>
        <w:t xml:space="preserve">for </w:t>
      </w:r>
      <w:r w:rsidRPr="00C31C8A">
        <w:rPr>
          <w:sz w:val="24"/>
        </w:rPr>
        <w:t>annuities and assurances.</w:t>
      </w:r>
      <w:r>
        <w:rPr>
          <w:sz w:val="24"/>
        </w:rPr>
        <w:t xml:space="preserve"> </w:t>
      </w:r>
      <w:r w:rsidRPr="00C31C8A">
        <w:rPr>
          <w:sz w:val="24"/>
        </w:rPr>
        <w:t xml:space="preserve">Finally, this is expanded and a </w:t>
      </w:r>
      <w:r>
        <w:rPr>
          <w:sz w:val="24"/>
        </w:rPr>
        <w:t xml:space="preserve">simple </w:t>
      </w:r>
      <w:r w:rsidRPr="00C31C8A">
        <w:rPr>
          <w:sz w:val="24"/>
        </w:rPr>
        <w:t>method is suggested to apply the hedge to a portfolio of annuities or assurances.</w:t>
      </w:r>
    </w:p>
    <w:p w:rsidR="006851E0" w:rsidRDefault="006851E0">
      <w:pPr>
        <w:rPr>
          <w:lang w:val="en-ZA"/>
        </w:rPr>
      </w:pPr>
      <w:r>
        <w:rPr>
          <w:lang w:val="en-ZA"/>
        </w:rPr>
        <w:br w:type="page"/>
      </w:r>
    </w:p>
    <w:sdt>
      <w:sdtPr>
        <w:rPr>
          <w:rFonts w:asciiTheme="minorHAnsi" w:eastAsiaTheme="minorHAnsi" w:hAnsiTheme="minorHAnsi" w:cstheme="minorBidi"/>
          <w:b w:val="0"/>
          <w:bCs w:val="0"/>
          <w:color w:val="auto"/>
          <w:sz w:val="22"/>
          <w:szCs w:val="22"/>
        </w:rPr>
        <w:id w:val="-1616133193"/>
        <w:docPartObj>
          <w:docPartGallery w:val="Table of Contents"/>
          <w:docPartUnique/>
        </w:docPartObj>
      </w:sdtPr>
      <w:sdtEndPr>
        <w:rPr>
          <w:noProof/>
        </w:rPr>
      </w:sdtEndPr>
      <w:sdtContent>
        <w:p w:rsidR="001C1AA2" w:rsidRDefault="001C1AA2">
          <w:pPr>
            <w:pStyle w:val="TOCHeading"/>
          </w:pPr>
          <w:r>
            <w:t>Contents</w:t>
          </w:r>
        </w:p>
        <w:p w:rsidR="006D3E21" w:rsidRDefault="001C1AA2">
          <w:pPr>
            <w:pStyle w:val="TOC1"/>
            <w:rPr>
              <w:rFonts w:eastAsiaTheme="minorEastAsia"/>
              <w:b w:val="0"/>
              <w:lang w:val="en-ZA" w:eastAsia="en-ZA"/>
            </w:rPr>
          </w:pPr>
          <w:r>
            <w:fldChar w:fldCharType="begin"/>
          </w:r>
          <w:r>
            <w:instrText xml:space="preserve"> TOC \o "1-3" \h \z \u </w:instrText>
          </w:r>
          <w:r>
            <w:fldChar w:fldCharType="separate"/>
          </w:r>
          <w:hyperlink w:anchor="_Toc374709709" w:history="1">
            <w:r w:rsidR="006D3E21" w:rsidRPr="003A4EFE">
              <w:rPr>
                <w:rStyle w:val="Hyperlink"/>
                <w:lang w:val="en-ZA"/>
              </w:rPr>
              <w:t>Acknowledgements</w:t>
            </w:r>
            <w:r w:rsidR="006D3E21">
              <w:rPr>
                <w:webHidden/>
              </w:rPr>
              <w:tab/>
            </w:r>
            <w:r w:rsidR="006D3E21">
              <w:rPr>
                <w:webHidden/>
              </w:rPr>
              <w:fldChar w:fldCharType="begin"/>
            </w:r>
            <w:r w:rsidR="006D3E21">
              <w:rPr>
                <w:webHidden/>
              </w:rPr>
              <w:instrText xml:space="preserve"> PAGEREF _Toc374709709 \h </w:instrText>
            </w:r>
            <w:r w:rsidR="006D3E21">
              <w:rPr>
                <w:webHidden/>
              </w:rPr>
            </w:r>
            <w:r w:rsidR="006D3E21">
              <w:rPr>
                <w:webHidden/>
              </w:rPr>
              <w:fldChar w:fldCharType="separate"/>
            </w:r>
            <w:r w:rsidR="006D3E21">
              <w:rPr>
                <w:webHidden/>
              </w:rPr>
              <w:t>1</w:t>
            </w:r>
            <w:r w:rsidR="006D3E21">
              <w:rPr>
                <w:webHidden/>
              </w:rPr>
              <w:fldChar w:fldCharType="end"/>
            </w:r>
          </w:hyperlink>
        </w:p>
        <w:p w:rsidR="006D3E21" w:rsidRDefault="006D3E21">
          <w:pPr>
            <w:pStyle w:val="TOC1"/>
            <w:rPr>
              <w:rFonts w:eastAsiaTheme="minorEastAsia"/>
              <w:b w:val="0"/>
              <w:lang w:val="en-ZA" w:eastAsia="en-ZA"/>
            </w:rPr>
          </w:pPr>
          <w:hyperlink w:anchor="_Toc374709710" w:history="1">
            <w:r w:rsidRPr="003A4EFE">
              <w:rPr>
                <w:rStyle w:val="Hyperlink"/>
                <w:lang w:val="en-ZA"/>
              </w:rPr>
              <w:t>Abstract</w:t>
            </w:r>
            <w:r>
              <w:rPr>
                <w:webHidden/>
              </w:rPr>
              <w:tab/>
            </w:r>
            <w:r>
              <w:rPr>
                <w:webHidden/>
              </w:rPr>
              <w:fldChar w:fldCharType="begin"/>
            </w:r>
            <w:r>
              <w:rPr>
                <w:webHidden/>
              </w:rPr>
              <w:instrText xml:space="preserve"> PAGEREF _Toc374709710 \h </w:instrText>
            </w:r>
            <w:r>
              <w:rPr>
                <w:webHidden/>
              </w:rPr>
            </w:r>
            <w:r>
              <w:rPr>
                <w:webHidden/>
              </w:rPr>
              <w:fldChar w:fldCharType="separate"/>
            </w:r>
            <w:r>
              <w:rPr>
                <w:webHidden/>
              </w:rPr>
              <w:t>1</w:t>
            </w:r>
            <w:r>
              <w:rPr>
                <w:webHidden/>
              </w:rPr>
              <w:fldChar w:fldCharType="end"/>
            </w:r>
          </w:hyperlink>
        </w:p>
        <w:p w:rsidR="006D3E21" w:rsidRDefault="006D3E21">
          <w:pPr>
            <w:pStyle w:val="TOC1"/>
            <w:rPr>
              <w:rFonts w:eastAsiaTheme="minorEastAsia"/>
              <w:b w:val="0"/>
              <w:lang w:val="en-ZA" w:eastAsia="en-ZA"/>
            </w:rPr>
          </w:pPr>
          <w:hyperlink w:anchor="_Toc374709711" w:history="1">
            <w:r w:rsidRPr="003A4EFE">
              <w:rPr>
                <w:rStyle w:val="Hyperlink"/>
              </w:rPr>
              <w:t>1.</w:t>
            </w:r>
            <w:r>
              <w:rPr>
                <w:rFonts w:eastAsiaTheme="minorEastAsia"/>
                <w:b w:val="0"/>
                <w:lang w:val="en-ZA" w:eastAsia="en-ZA"/>
              </w:rPr>
              <w:tab/>
            </w:r>
            <w:r w:rsidRPr="003A4EFE">
              <w:rPr>
                <w:rStyle w:val="Hyperlink"/>
              </w:rPr>
              <w:t>Introduction</w:t>
            </w:r>
            <w:r>
              <w:rPr>
                <w:webHidden/>
              </w:rPr>
              <w:tab/>
            </w:r>
            <w:r>
              <w:rPr>
                <w:webHidden/>
              </w:rPr>
              <w:fldChar w:fldCharType="begin"/>
            </w:r>
            <w:r>
              <w:rPr>
                <w:webHidden/>
              </w:rPr>
              <w:instrText xml:space="preserve"> PAGEREF _Toc374709711 \h </w:instrText>
            </w:r>
            <w:r>
              <w:rPr>
                <w:webHidden/>
              </w:rPr>
            </w:r>
            <w:r>
              <w:rPr>
                <w:webHidden/>
              </w:rPr>
              <w:fldChar w:fldCharType="separate"/>
            </w:r>
            <w:r>
              <w:rPr>
                <w:webHidden/>
              </w:rPr>
              <w:t>3</w:t>
            </w:r>
            <w:r>
              <w:rPr>
                <w:webHidden/>
              </w:rPr>
              <w:fldChar w:fldCharType="end"/>
            </w:r>
          </w:hyperlink>
        </w:p>
        <w:p w:rsidR="006D3E21" w:rsidRDefault="006D3E21">
          <w:pPr>
            <w:pStyle w:val="TOC1"/>
            <w:rPr>
              <w:rFonts w:eastAsiaTheme="minorEastAsia"/>
              <w:b w:val="0"/>
              <w:lang w:val="en-ZA" w:eastAsia="en-ZA"/>
            </w:rPr>
          </w:pPr>
          <w:hyperlink w:anchor="_Toc374709712" w:history="1">
            <w:r w:rsidRPr="003A4EFE">
              <w:rPr>
                <w:rStyle w:val="Hyperlink"/>
              </w:rPr>
              <w:t>2.</w:t>
            </w:r>
            <w:r>
              <w:rPr>
                <w:rFonts w:eastAsiaTheme="minorEastAsia"/>
                <w:b w:val="0"/>
                <w:lang w:val="en-ZA" w:eastAsia="en-ZA"/>
              </w:rPr>
              <w:tab/>
            </w:r>
            <w:r w:rsidRPr="003A4EFE">
              <w:rPr>
                <w:rStyle w:val="Hyperlink"/>
              </w:rPr>
              <w:t>Background</w:t>
            </w:r>
            <w:r>
              <w:rPr>
                <w:webHidden/>
              </w:rPr>
              <w:tab/>
            </w:r>
            <w:r>
              <w:rPr>
                <w:webHidden/>
              </w:rPr>
              <w:fldChar w:fldCharType="begin"/>
            </w:r>
            <w:r>
              <w:rPr>
                <w:webHidden/>
              </w:rPr>
              <w:instrText xml:space="preserve"> PAGEREF _Toc374709712 \h </w:instrText>
            </w:r>
            <w:r>
              <w:rPr>
                <w:webHidden/>
              </w:rPr>
            </w:r>
            <w:r>
              <w:rPr>
                <w:webHidden/>
              </w:rPr>
              <w:fldChar w:fldCharType="separate"/>
            </w:r>
            <w:r>
              <w:rPr>
                <w:webHidden/>
              </w:rPr>
              <w:t>4</w:t>
            </w:r>
            <w:r>
              <w:rPr>
                <w:webHidden/>
              </w:rPr>
              <w:fldChar w:fldCharType="end"/>
            </w:r>
          </w:hyperlink>
        </w:p>
        <w:p w:rsidR="006D3E21" w:rsidRDefault="006D3E21">
          <w:pPr>
            <w:pStyle w:val="TOC1"/>
            <w:rPr>
              <w:rFonts w:eastAsiaTheme="minorEastAsia"/>
              <w:b w:val="0"/>
              <w:lang w:val="en-ZA" w:eastAsia="en-ZA"/>
            </w:rPr>
          </w:pPr>
          <w:hyperlink w:anchor="_Toc374709713" w:history="1">
            <w:r w:rsidRPr="003A4EFE">
              <w:rPr>
                <w:rStyle w:val="Hyperlink"/>
              </w:rPr>
              <w:t>3.</w:t>
            </w:r>
            <w:r>
              <w:rPr>
                <w:rFonts w:eastAsiaTheme="minorEastAsia"/>
                <w:b w:val="0"/>
                <w:lang w:val="en-ZA" w:eastAsia="en-ZA"/>
              </w:rPr>
              <w:tab/>
            </w:r>
            <w:r w:rsidRPr="003A4EFE">
              <w:rPr>
                <w:rStyle w:val="Hyperlink"/>
              </w:rPr>
              <w:t>Methodology</w:t>
            </w:r>
            <w:r>
              <w:rPr>
                <w:webHidden/>
              </w:rPr>
              <w:tab/>
            </w:r>
            <w:r>
              <w:rPr>
                <w:webHidden/>
              </w:rPr>
              <w:fldChar w:fldCharType="begin"/>
            </w:r>
            <w:r>
              <w:rPr>
                <w:webHidden/>
              </w:rPr>
              <w:instrText xml:space="preserve"> PAGEREF _Toc374709713 \h </w:instrText>
            </w:r>
            <w:r>
              <w:rPr>
                <w:webHidden/>
              </w:rPr>
            </w:r>
            <w:r>
              <w:rPr>
                <w:webHidden/>
              </w:rPr>
              <w:fldChar w:fldCharType="separate"/>
            </w:r>
            <w:r>
              <w:rPr>
                <w:webHidden/>
              </w:rPr>
              <w:t>8</w:t>
            </w:r>
            <w:r>
              <w:rPr>
                <w:webHidden/>
              </w:rPr>
              <w:fldChar w:fldCharType="end"/>
            </w:r>
          </w:hyperlink>
        </w:p>
        <w:p w:rsidR="006D3E21" w:rsidRDefault="006D3E21">
          <w:pPr>
            <w:pStyle w:val="TOC2"/>
            <w:tabs>
              <w:tab w:val="right" w:leader="dot" w:pos="9350"/>
            </w:tabs>
            <w:rPr>
              <w:rFonts w:eastAsiaTheme="minorEastAsia"/>
              <w:noProof/>
              <w:lang w:val="en-ZA" w:eastAsia="en-ZA"/>
            </w:rPr>
          </w:pPr>
          <w:hyperlink w:anchor="_Toc374709714" w:history="1">
            <w:r w:rsidRPr="003A4EFE">
              <w:rPr>
                <w:rStyle w:val="Hyperlink"/>
                <w:noProof/>
              </w:rPr>
              <w:t xml:space="preserve">3.1 The </w:t>
            </w:r>
            <w:r w:rsidRPr="003A4EFE">
              <w:rPr>
                <w:rStyle w:val="Hyperlink"/>
                <w:noProof/>
              </w:rPr>
              <w:t>T</w:t>
            </w:r>
            <w:r w:rsidRPr="003A4EFE">
              <w:rPr>
                <w:rStyle w:val="Hyperlink"/>
                <w:noProof/>
              </w:rPr>
              <w:t>heory</w:t>
            </w:r>
            <w:r>
              <w:rPr>
                <w:noProof/>
                <w:webHidden/>
              </w:rPr>
              <w:tab/>
            </w:r>
            <w:r>
              <w:rPr>
                <w:noProof/>
                <w:webHidden/>
              </w:rPr>
              <w:fldChar w:fldCharType="begin"/>
            </w:r>
            <w:r>
              <w:rPr>
                <w:noProof/>
                <w:webHidden/>
              </w:rPr>
              <w:instrText xml:space="preserve"> PAGEREF _Toc374709714 \h </w:instrText>
            </w:r>
            <w:r>
              <w:rPr>
                <w:noProof/>
                <w:webHidden/>
              </w:rPr>
            </w:r>
            <w:r>
              <w:rPr>
                <w:noProof/>
                <w:webHidden/>
              </w:rPr>
              <w:fldChar w:fldCharType="separate"/>
            </w:r>
            <w:r>
              <w:rPr>
                <w:noProof/>
                <w:webHidden/>
              </w:rPr>
              <w:t>8</w:t>
            </w:r>
            <w:r>
              <w:rPr>
                <w:noProof/>
                <w:webHidden/>
              </w:rPr>
              <w:fldChar w:fldCharType="end"/>
            </w:r>
          </w:hyperlink>
        </w:p>
        <w:p w:rsidR="006D3E21" w:rsidRDefault="006D3E21">
          <w:pPr>
            <w:pStyle w:val="TOC2"/>
            <w:tabs>
              <w:tab w:val="right" w:leader="dot" w:pos="9350"/>
            </w:tabs>
            <w:rPr>
              <w:rFonts w:eastAsiaTheme="minorEastAsia"/>
              <w:noProof/>
              <w:lang w:val="en-ZA" w:eastAsia="en-ZA"/>
            </w:rPr>
          </w:pPr>
          <w:hyperlink w:anchor="_Toc374709715" w:history="1">
            <w:r w:rsidRPr="003A4EFE">
              <w:rPr>
                <w:rStyle w:val="Hyperlink"/>
                <w:noProof/>
              </w:rPr>
              <w:t>3.2 The Longevity Hedge Ratio (LHR)</w:t>
            </w:r>
            <w:r>
              <w:rPr>
                <w:noProof/>
                <w:webHidden/>
              </w:rPr>
              <w:tab/>
            </w:r>
            <w:r>
              <w:rPr>
                <w:noProof/>
                <w:webHidden/>
              </w:rPr>
              <w:fldChar w:fldCharType="begin"/>
            </w:r>
            <w:r>
              <w:rPr>
                <w:noProof/>
                <w:webHidden/>
              </w:rPr>
              <w:instrText xml:space="preserve"> PAGEREF _Toc374709715 \h </w:instrText>
            </w:r>
            <w:r>
              <w:rPr>
                <w:noProof/>
                <w:webHidden/>
              </w:rPr>
            </w:r>
            <w:r>
              <w:rPr>
                <w:noProof/>
                <w:webHidden/>
              </w:rPr>
              <w:fldChar w:fldCharType="separate"/>
            </w:r>
            <w:r>
              <w:rPr>
                <w:noProof/>
                <w:webHidden/>
              </w:rPr>
              <w:t>11</w:t>
            </w:r>
            <w:r>
              <w:rPr>
                <w:noProof/>
                <w:webHidden/>
              </w:rPr>
              <w:fldChar w:fldCharType="end"/>
            </w:r>
          </w:hyperlink>
        </w:p>
        <w:p w:rsidR="006D3E21" w:rsidRDefault="006D3E21">
          <w:pPr>
            <w:pStyle w:val="TOC2"/>
            <w:tabs>
              <w:tab w:val="right" w:leader="dot" w:pos="9350"/>
            </w:tabs>
            <w:rPr>
              <w:rFonts w:eastAsiaTheme="minorEastAsia"/>
              <w:noProof/>
              <w:lang w:val="en-ZA" w:eastAsia="en-ZA"/>
            </w:rPr>
          </w:pPr>
          <w:hyperlink w:anchor="_Toc374709716" w:history="1">
            <w:r w:rsidRPr="003A4EFE">
              <w:rPr>
                <w:rStyle w:val="Hyperlink"/>
                <w:noProof/>
              </w:rPr>
              <w:t>3.3 Assumptions used in LHR calculation</w:t>
            </w:r>
            <w:r>
              <w:rPr>
                <w:noProof/>
                <w:webHidden/>
              </w:rPr>
              <w:tab/>
            </w:r>
            <w:r>
              <w:rPr>
                <w:noProof/>
                <w:webHidden/>
              </w:rPr>
              <w:fldChar w:fldCharType="begin"/>
            </w:r>
            <w:r>
              <w:rPr>
                <w:noProof/>
                <w:webHidden/>
              </w:rPr>
              <w:instrText xml:space="preserve"> PAGEREF _Toc374709716 \h </w:instrText>
            </w:r>
            <w:r>
              <w:rPr>
                <w:noProof/>
                <w:webHidden/>
              </w:rPr>
            </w:r>
            <w:r>
              <w:rPr>
                <w:noProof/>
                <w:webHidden/>
              </w:rPr>
              <w:fldChar w:fldCharType="separate"/>
            </w:r>
            <w:r>
              <w:rPr>
                <w:noProof/>
                <w:webHidden/>
              </w:rPr>
              <w:t>11</w:t>
            </w:r>
            <w:r>
              <w:rPr>
                <w:noProof/>
                <w:webHidden/>
              </w:rPr>
              <w:fldChar w:fldCharType="end"/>
            </w:r>
          </w:hyperlink>
        </w:p>
        <w:p w:rsidR="006D3E21" w:rsidRDefault="006D3E21">
          <w:pPr>
            <w:pStyle w:val="TOC2"/>
            <w:tabs>
              <w:tab w:val="right" w:leader="dot" w:pos="9350"/>
            </w:tabs>
            <w:rPr>
              <w:rFonts w:eastAsiaTheme="minorEastAsia"/>
              <w:noProof/>
              <w:lang w:val="en-ZA" w:eastAsia="en-ZA"/>
            </w:rPr>
          </w:pPr>
          <w:hyperlink w:anchor="_Toc374709717" w:history="1">
            <w:r w:rsidRPr="003A4EFE">
              <w:rPr>
                <w:rStyle w:val="Hyperlink"/>
                <w:noProof/>
              </w:rPr>
              <w:t>3.4 Example application of LHR</w:t>
            </w:r>
            <w:r>
              <w:rPr>
                <w:noProof/>
                <w:webHidden/>
              </w:rPr>
              <w:tab/>
            </w:r>
            <w:r>
              <w:rPr>
                <w:noProof/>
                <w:webHidden/>
              </w:rPr>
              <w:fldChar w:fldCharType="begin"/>
            </w:r>
            <w:r>
              <w:rPr>
                <w:noProof/>
                <w:webHidden/>
              </w:rPr>
              <w:instrText xml:space="preserve"> PAGEREF _Toc374709717 \h </w:instrText>
            </w:r>
            <w:r>
              <w:rPr>
                <w:noProof/>
                <w:webHidden/>
              </w:rPr>
            </w:r>
            <w:r>
              <w:rPr>
                <w:noProof/>
                <w:webHidden/>
              </w:rPr>
              <w:fldChar w:fldCharType="separate"/>
            </w:r>
            <w:r>
              <w:rPr>
                <w:noProof/>
                <w:webHidden/>
              </w:rPr>
              <w:t>12</w:t>
            </w:r>
            <w:r>
              <w:rPr>
                <w:noProof/>
                <w:webHidden/>
              </w:rPr>
              <w:fldChar w:fldCharType="end"/>
            </w:r>
          </w:hyperlink>
        </w:p>
        <w:p w:rsidR="006D3E21" w:rsidRDefault="006D3E21">
          <w:pPr>
            <w:pStyle w:val="TOC1"/>
            <w:rPr>
              <w:rFonts w:eastAsiaTheme="minorEastAsia"/>
              <w:b w:val="0"/>
              <w:lang w:val="en-ZA" w:eastAsia="en-ZA"/>
            </w:rPr>
          </w:pPr>
          <w:hyperlink w:anchor="_Toc374709718" w:history="1">
            <w:r w:rsidRPr="003A4EFE">
              <w:rPr>
                <w:rStyle w:val="Hyperlink"/>
              </w:rPr>
              <w:t>4.</w:t>
            </w:r>
            <w:r>
              <w:rPr>
                <w:rFonts w:eastAsiaTheme="minorEastAsia"/>
                <w:b w:val="0"/>
                <w:lang w:val="en-ZA" w:eastAsia="en-ZA"/>
              </w:rPr>
              <w:tab/>
            </w:r>
            <w:r w:rsidRPr="003A4EFE">
              <w:rPr>
                <w:rStyle w:val="Hyperlink"/>
              </w:rPr>
              <w:t>The LHR Applied</w:t>
            </w:r>
            <w:r>
              <w:rPr>
                <w:webHidden/>
              </w:rPr>
              <w:tab/>
            </w:r>
            <w:r>
              <w:rPr>
                <w:webHidden/>
              </w:rPr>
              <w:fldChar w:fldCharType="begin"/>
            </w:r>
            <w:r>
              <w:rPr>
                <w:webHidden/>
              </w:rPr>
              <w:instrText xml:space="preserve"> PAGEREF _Toc374709718 \h </w:instrText>
            </w:r>
            <w:r>
              <w:rPr>
                <w:webHidden/>
              </w:rPr>
            </w:r>
            <w:r>
              <w:rPr>
                <w:webHidden/>
              </w:rPr>
              <w:fldChar w:fldCharType="separate"/>
            </w:r>
            <w:r>
              <w:rPr>
                <w:webHidden/>
              </w:rPr>
              <w:t>18</w:t>
            </w:r>
            <w:r>
              <w:rPr>
                <w:webHidden/>
              </w:rPr>
              <w:fldChar w:fldCharType="end"/>
            </w:r>
          </w:hyperlink>
        </w:p>
        <w:p w:rsidR="006D3E21" w:rsidRDefault="006D3E21">
          <w:pPr>
            <w:pStyle w:val="TOC2"/>
            <w:tabs>
              <w:tab w:val="right" w:leader="dot" w:pos="9350"/>
            </w:tabs>
            <w:rPr>
              <w:rFonts w:eastAsiaTheme="minorEastAsia"/>
              <w:noProof/>
              <w:lang w:val="en-ZA" w:eastAsia="en-ZA"/>
            </w:rPr>
          </w:pPr>
          <w:hyperlink w:anchor="_Toc374709719" w:history="1">
            <w:r w:rsidRPr="003A4EFE">
              <w:rPr>
                <w:rStyle w:val="Hyperlink"/>
                <w:noProof/>
              </w:rPr>
              <w:t>4.1 Hedging principles</w:t>
            </w:r>
            <w:r>
              <w:rPr>
                <w:noProof/>
                <w:webHidden/>
              </w:rPr>
              <w:tab/>
            </w:r>
            <w:r>
              <w:rPr>
                <w:noProof/>
                <w:webHidden/>
              </w:rPr>
              <w:fldChar w:fldCharType="begin"/>
            </w:r>
            <w:r>
              <w:rPr>
                <w:noProof/>
                <w:webHidden/>
              </w:rPr>
              <w:instrText xml:space="preserve"> PAGEREF _Toc374709719 \h </w:instrText>
            </w:r>
            <w:r>
              <w:rPr>
                <w:noProof/>
                <w:webHidden/>
              </w:rPr>
            </w:r>
            <w:r>
              <w:rPr>
                <w:noProof/>
                <w:webHidden/>
              </w:rPr>
              <w:fldChar w:fldCharType="separate"/>
            </w:r>
            <w:r>
              <w:rPr>
                <w:noProof/>
                <w:webHidden/>
              </w:rPr>
              <w:t>18</w:t>
            </w:r>
            <w:r>
              <w:rPr>
                <w:noProof/>
                <w:webHidden/>
              </w:rPr>
              <w:fldChar w:fldCharType="end"/>
            </w:r>
          </w:hyperlink>
        </w:p>
        <w:p w:rsidR="006D3E21" w:rsidRDefault="006D3E21">
          <w:pPr>
            <w:pStyle w:val="TOC2"/>
            <w:tabs>
              <w:tab w:val="right" w:leader="dot" w:pos="9350"/>
            </w:tabs>
            <w:rPr>
              <w:rFonts w:eastAsiaTheme="minorEastAsia"/>
              <w:noProof/>
              <w:lang w:val="en-ZA" w:eastAsia="en-ZA"/>
            </w:rPr>
          </w:pPr>
          <w:hyperlink w:anchor="_Toc374709720" w:history="1">
            <w:r w:rsidRPr="003A4EFE">
              <w:rPr>
                <w:rStyle w:val="Hyperlink"/>
                <w:noProof/>
              </w:rPr>
              <w:t>4.2 Effects of increased longevity</w:t>
            </w:r>
            <w:r>
              <w:rPr>
                <w:noProof/>
                <w:webHidden/>
              </w:rPr>
              <w:tab/>
            </w:r>
            <w:r>
              <w:rPr>
                <w:noProof/>
                <w:webHidden/>
              </w:rPr>
              <w:fldChar w:fldCharType="begin"/>
            </w:r>
            <w:r>
              <w:rPr>
                <w:noProof/>
                <w:webHidden/>
              </w:rPr>
              <w:instrText xml:space="preserve"> PAGEREF _Toc374709720 \h </w:instrText>
            </w:r>
            <w:r>
              <w:rPr>
                <w:noProof/>
                <w:webHidden/>
              </w:rPr>
            </w:r>
            <w:r>
              <w:rPr>
                <w:noProof/>
                <w:webHidden/>
              </w:rPr>
              <w:fldChar w:fldCharType="separate"/>
            </w:r>
            <w:r>
              <w:rPr>
                <w:noProof/>
                <w:webHidden/>
              </w:rPr>
              <w:t>19</w:t>
            </w:r>
            <w:r>
              <w:rPr>
                <w:noProof/>
                <w:webHidden/>
              </w:rPr>
              <w:fldChar w:fldCharType="end"/>
            </w:r>
          </w:hyperlink>
        </w:p>
        <w:p w:rsidR="006D3E21" w:rsidRDefault="006D3E21">
          <w:pPr>
            <w:pStyle w:val="TOC2"/>
            <w:tabs>
              <w:tab w:val="right" w:leader="dot" w:pos="9350"/>
            </w:tabs>
            <w:rPr>
              <w:rFonts w:eastAsiaTheme="minorEastAsia"/>
              <w:noProof/>
              <w:lang w:val="en-ZA" w:eastAsia="en-ZA"/>
            </w:rPr>
          </w:pPr>
          <w:hyperlink w:anchor="_Toc374709721" w:history="1">
            <w:r w:rsidRPr="003A4EFE">
              <w:rPr>
                <w:rStyle w:val="Hyperlink"/>
                <w:noProof/>
              </w:rPr>
              <w:t>4.3 Hedging for different time horizons</w:t>
            </w:r>
            <w:r>
              <w:rPr>
                <w:noProof/>
                <w:webHidden/>
              </w:rPr>
              <w:tab/>
            </w:r>
            <w:r>
              <w:rPr>
                <w:noProof/>
                <w:webHidden/>
              </w:rPr>
              <w:fldChar w:fldCharType="begin"/>
            </w:r>
            <w:r>
              <w:rPr>
                <w:noProof/>
                <w:webHidden/>
              </w:rPr>
              <w:instrText xml:space="preserve"> PAGEREF _Toc374709721 \h </w:instrText>
            </w:r>
            <w:r>
              <w:rPr>
                <w:noProof/>
                <w:webHidden/>
              </w:rPr>
            </w:r>
            <w:r>
              <w:rPr>
                <w:noProof/>
                <w:webHidden/>
              </w:rPr>
              <w:fldChar w:fldCharType="separate"/>
            </w:r>
            <w:r>
              <w:rPr>
                <w:noProof/>
                <w:webHidden/>
              </w:rPr>
              <w:t>21</w:t>
            </w:r>
            <w:r>
              <w:rPr>
                <w:noProof/>
                <w:webHidden/>
              </w:rPr>
              <w:fldChar w:fldCharType="end"/>
            </w:r>
          </w:hyperlink>
        </w:p>
        <w:p w:rsidR="006D3E21" w:rsidRDefault="006D3E21">
          <w:pPr>
            <w:pStyle w:val="TOC2"/>
            <w:tabs>
              <w:tab w:val="right" w:leader="dot" w:pos="9350"/>
            </w:tabs>
            <w:rPr>
              <w:rFonts w:eastAsiaTheme="minorEastAsia"/>
              <w:noProof/>
              <w:lang w:val="en-ZA" w:eastAsia="en-ZA"/>
            </w:rPr>
          </w:pPr>
          <w:hyperlink w:anchor="_Toc374709722" w:history="1">
            <w:r w:rsidRPr="003A4EFE">
              <w:rPr>
                <w:rStyle w:val="Hyperlink"/>
                <w:noProof/>
              </w:rPr>
              <w:t>4.4 Hedging for different spreads of improvement</w:t>
            </w:r>
            <w:r>
              <w:rPr>
                <w:noProof/>
                <w:webHidden/>
              </w:rPr>
              <w:tab/>
            </w:r>
            <w:r>
              <w:rPr>
                <w:noProof/>
                <w:webHidden/>
              </w:rPr>
              <w:fldChar w:fldCharType="begin"/>
            </w:r>
            <w:r>
              <w:rPr>
                <w:noProof/>
                <w:webHidden/>
              </w:rPr>
              <w:instrText xml:space="preserve"> PAGEREF _Toc374709722 \h </w:instrText>
            </w:r>
            <w:r>
              <w:rPr>
                <w:noProof/>
                <w:webHidden/>
              </w:rPr>
            </w:r>
            <w:r>
              <w:rPr>
                <w:noProof/>
                <w:webHidden/>
              </w:rPr>
              <w:fldChar w:fldCharType="separate"/>
            </w:r>
            <w:r>
              <w:rPr>
                <w:noProof/>
                <w:webHidden/>
              </w:rPr>
              <w:t>27</w:t>
            </w:r>
            <w:r>
              <w:rPr>
                <w:noProof/>
                <w:webHidden/>
              </w:rPr>
              <w:fldChar w:fldCharType="end"/>
            </w:r>
          </w:hyperlink>
        </w:p>
        <w:p w:rsidR="006D3E21" w:rsidRDefault="006D3E21">
          <w:pPr>
            <w:pStyle w:val="TOC2"/>
            <w:tabs>
              <w:tab w:val="right" w:leader="dot" w:pos="9350"/>
            </w:tabs>
            <w:rPr>
              <w:rFonts w:eastAsiaTheme="minorEastAsia"/>
              <w:noProof/>
              <w:lang w:val="en-ZA" w:eastAsia="en-ZA"/>
            </w:rPr>
          </w:pPr>
          <w:hyperlink w:anchor="_Toc374709723" w:history="1">
            <w:r w:rsidRPr="003A4EFE">
              <w:rPr>
                <w:rStyle w:val="Hyperlink"/>
                <w:noProof/>
              </w:rPr>
              <w:t>4.5 Changes in interest rates</w:t>
            </w:r>
            <w:r>
              <w:rPr>
                <w:noProof/>
                <w:webHidden/>
              </w:rPr>
              <w:tab/>
            </w:r>
            <w:r>
              <w:rPr>
                <w:noProof/>
                <w:webHidden/>
              </w:rPr>
              <w:fldChar w:fldCharType="begin"/>
            </w:r>
            <w:r>
              <w:rPr>
                <w:noProof/>
                <w:webHidden/>
              </w:rPr>
              <w:instrText xml:space="preserve"> PAGEREF _Toc374709723 \h </w:instrText>
            </w:r>
            <w:r>
              <w:rPr>
                <w:noProof/>
                <w:webHidden/>
              </w:rPr>
            </w:r>
            <w:r>
              <w:rPr>
                <w:noProof/>
                <w:webHidden/>
              </w:rPr>
              <w:fldChar w:fldCharType="separate"/>
            </w:r>
            <w:r>
              <w:rPr>
                <w:noProof/>
                <w:webHidden/>
              </w:rPr>
              <w:t>30</w:t>
            </w:r>
            <w:r>
              <w:rPr>
                <w:noProof/>
                <w:webHidden/>
              </w:rPr>
              <w:fldChar w:fldCharType="end"/>
            </w:r>
          </w:hyperlink>
        </w:p>
        <w:p w:rsidR="006D3E21" w:rsidRDefault="006D3E21">
          <w:pPr>
            <w:pStyle w:val="TOC2"/>
            <w:tabs>
              <w:tab w:val="right" w:leader="dot" w:pos="9350"/>
            </w:tabs>
            <w:rPr>
              <w:rFonts w:eastAsiaTheme="minorEastAsia"/>
              <w:noProof/>
              <w:lang w:val="en-ZA" w:eastAsia="en-ZA"/>
            </w:rPr>
          </w:pPr>
          <w:hyperlink w:anchor="_Toc374709724" w:history="1">
            <w:r w:rsidRPr="003A4EFE">
              <w:rPr>
                <w:rStyle w:val="Hyperlink"/>
                <w:noProof/>
              </w:rPr>
              <w:t>4.6 A practical example using simulation</w:t>
            </w:r>
            <w:r>
              <w:rPr>
                <w:noProof/>
                <w:webHidden/>
              </w:rPr>
              <w:tab/>
            </w:r>
            <w:r>
              <w:rPr>
                <w:noProof/>
                <w:webHidden/>
              </w:rPr>
              <w:fldChar w:fldCharType="begin"/>
            </w:r>
            <w:r>
              <w:rPr>
                <w:noProof/>
                <w:webHidden/>
              </w:rPr>
              <w:instrText xml:space="preserve"> PAGEREF _Toc374709724 \h </w:instrText>
            </w:r>
            <w:r>
              <w:rPr>
                <w:noProof/>
                <w:webHidden/>
              </w:rPr>
            </w:r>
            <w:r>
              <w:rPr>
                <w:noProof/>
                <w:webHidden/>
              </w:rPr>
              <w:fldChar w:fldCharType="separate"/>
            </w:r>
            <w:r>
              <w:rPr>
                <w:noProof/>
                <w:webHidden/>
              </w:rPr>
              <w:t>31</w:t>
            </w:r>
            <w:r>
              <w:rPr>
                <w:noProof/>
                <w:webHidden/>
              </w:rPr>
              <w:fldChar w:fldCharType="end"/>
            </w:r>
          </w:hyperlink>
        </w:p>
        <w:p w:rsidR="006D3E21" w:rsidRDefault="006D3E21">
          <w:pPr>
            <w:pStyle w:val="TOC1"/>
            <w:rPr>
              <w:rFonts w:eastAsiaTheme="minorEastAsia"/>
              <w:b w:val="0"/>
              <w:lang w:val="en-ZA" w:eastAsia="en-ZA"/>
            </w:rPr>
          </w:pPr>
          <w:hyperlink w:anchor="_Toc374709725" w:history="1">
            <w:r w:rsidRPr="003A4EFE">
              <w:rPr>
                <w:rStyle w:val="Hyperlink"/>
                <w:lang w:val="en-ZA"/>
              </w:rPr>
              <w:t>5.</w:t>
            </w:r>
            <w:r>
              <w:rPr>
                <w:rFonts w:eastAsiaTheme="minorEastAsia"/>
                <w:b w:val="0"/>
                <w:lang w:val="en-ZA" w:eastAsia="en-ZA"/>
              </w:rPr>
              <w:tab/>
            </w:r>
            <w:r w:rsidRPr="003A4EFE">
              <w:rPr>
                <w:rStyle w:val="Hyperlink"/>
                <w:lang w:val="en-ZA"/>
              </w:rPr>
              <w:t>Conclusion</w:t>
            </w:r>
            <w:r>
              <w:rPr>
                <w:webHidden/>
              </w:rPr>
              <w:tab/>
            </w:r>
            <w:r>
              <w:rPr>
                <w:webHidden/>
              </w:rPr>
              <w:fldChar w:fldCharType="begin"/>
            </w:r>
            <w:r>
              <w:rPr>
                <w:webHidden/>
              </w:rPr>
              <w:instrText xml:space="preserve"> PAGEREF _Toc374709725 \h </w:instrText>
            </w:r>
            <w:r>
              <w:rPr>
                <w:webHidden/>
              </w:rPr>
            </w:r>
            <w:r>
              <w:rPr>
                <w:webHidden/>
              </w:rPr>
              <w:fldChar w:fldCharType="separate"/>
            </w:r>
            <w:r>
              <w:rPr>
                <w:webHidden/>
              </w:rPr>
              <w:t>35</w:t>
            </w:r>
            <w:r>
              <w:rPr>
                <w:webHidden/>
              </w:rPr>
              <w:fldChar w:fldCharType="end"/>
            </w:r>
          </w:hyperlink>
        </w:p>
        <w:p w:rsidR="006D3E21" w:rsidRDefault="006D3E21">
          <w:pPr>
            <w:pStyle w:val="TOC1"/>
            <w:rPr>
              <w:rFonts w:eastAsiaTheme="minorEastAsia"/>
              <w:b w:val="0"/>
              <w:lang w:val="en-ZA" w:eastAsia="en-ZA"/>
            </w:rPr>
          </w:pPr>
          <w:hyperlink w:anchor="_Toc374709726" w:history="1">
            <w:r w:rsidRPr="003A4EFE">
              <w:rPr>
                <w:rStyle w:val="Hyperlink"/>
                <w:lang w:val="en-ZA"/>
              </w:rPr>
              <w:t>Reference List</w:t>
            </w:r>
            <w:r>
              <w:rPr>
                <w:webHidden/>
              </w:rPr>
              <w:tab/>
            </w:r>
            <w:r>
              <w:rPr>
                <w:webHidden/>
              </w:rPr>
              <w:fldChar w:fldCharType="begin"/>
            </w:r>
            <w:r>
              <w:rPr>
                <w:webHidden/>
              </w:rPr>
              <w:instrText xml:space="preserve"> PAGEREF _Toc374709726 \h </w:instrText>
            </w:r>
            <w:r>
              <w:rPr>
                <w:webHidden/>
              </w:rPr>
            </w:r>
            <w:r>
              <w:rPr>
                <w:webHidden/>
              </w:rPr>
              <w:fldChar w:fldCharType="separate"/>
            </w:r>
            <w:r>
              <w:rPr>
                <w:webHidden/>
              </w:rPr>
              <w:t>36</w:t>
            </w:r>
            <w:r>
              <w:rPr>
                <w:webHidden/>
              </w:rPr>
              <w:fldChar w:fldCharType="end"/>
            </w:r>
          </w:hyperlink>
        </w:p>
        <w:p w:rsidR="001C1AA2" w:rsidRDefault="001C1AA2">
          <w:r>
            <w:rPr>
              <w:b/>
              <w:bCs/>
              <w:noProof/>
            </w:rPr>
            <w:fldChar w:fldCharType="end"/>
          </w:r>
        </w:p>
      </w:sdtContent>
    </w:sdt>
    <w:p w:rsidR="007C5265" w:rsidRDefault="007C5265">
      <w:pPr>
        <w:rPr>
          <w:rFonts w:asciiTheme="majorHAnsi" w:eastAsiaTheme="majorEastAsia" w:hAnsiTheme="majorHAnsi" w:cstheme="majorBidi"/>
          <w:b/>
          <w:bCs/>
          <w:color w:val="365F91" w:themeColor="accent1" w:themeShade="BF"/>
          <w:sz w:val="28"/>
          <w:szCs w:val="28"/>
        </w:rPr>
      </w:pPr>
      <w:r>
        <w:br w:type="page"/>
      </w:r>
    </w:p>
    <w:p w:rsidR="00324DA3" w:rsidRPr="007824AC" w:rsidRDefault="004630A8" w:rsidP="007824AC">
      <w:pPr>
        <w:pStyle w:val="Heading1"/>
        <w:numPr>
          <w:ilvl w:val="0"/>
          <w:numId w:val="10"/>
        </w:numPr>
      </w:pPr>
      <w:bookmarkStart w:id="8" w:name="_Toc374709711"/>
      <w:r w:rsidRPr="007824AC">
        <w:lastRenderedPageBreak/>
        <w:t>Introduction</w:t>
      </w:r>
      <w:bookmarkEnd w:id="8"/>
    </w:p>
    <w:p w:rsidR="00FF6818" w:rsidRPr="008862A3" w:rsidRDefault="00FF6818" w:rsidP="0037647B">
      <w:pPr>
        <w:jc w:val="both"/>
        <w:rPr>
          <w:sz w:val="24"/>
          <w:szCs w:val="24"/>
        </w:rPr>
      </w:pPr>
      <w:r w:rsidRPr="008862A3">
        <w:rPr>
          <w:sz w:val="24"/>
          <w:szCs w:val="24"/>
        </w:rPr>
        <w:t xml:space="preserve">The natural hedge is not a new concept, yet it is rarely put to use.  Various practicalities serve as a barrier for active trade in such risk, such as finding a suitable longevity index, as described by Blake et al (2006).  Improvement in mortality is a slow process, with medical advances taking years to filter down to the man on the street.  If we compare it to the much more volatile processes such as interest rates and currency movements, the question arises: why could we hedge these, but not mortality? </w:t>
      </w:r>
      <w:r w:rsidR="00F9114B" w:rsidRPr="008862A3">
        <w:rPr>
          <w:sz w:val="24"/>
          <w:szCs w:val="24"/>
        </w:rPr>
        <w:t>Is the longevity index really a requirement?</w:t>
      </w:r>
    </w:p>
    <w:p w:rsidR="00964C75" w:rsidRPr="008862A3" w:rsidRDefault="00FF6818" w:rsidP="0037647B">
      <w:pPr>
        <w:jc w:val="both"/>
        <w:rPr>
          <w:sz w:val="24"/>
          <w:szCs w:val="24"/>
        </w:rPr>
      </w:pPr>
      <w:r w:rsidRPr="008862A3">
        <w:rPr>
          <w:sz w:val="24"/>
          <w:szCs w:val="24"/>
        </w:rPr>
        <w:t xml:space="preserve">Most companies have been allowing for mortality improvements for a very long time.  This may be done </w:t>
      </w:r>
      <w:r w:rsidR="00964C75" w:rsidRPr="008862A3">
        <w:rPr>
          <w:sz w:val="24"/>
          <w:szCs w:val="24"/>
        </w:rPr>
        <w:t xml:space="preserve">one dimensional using a single percentage over all ages and calendar cohorts, or could allow for ages, calendar year, male/female and other factors.  These </w:t>
      </w:r>
      <w:r w:rsidR="00F9114B" w:rsidRPr="008862A3">
        <w:rPr>
          <w:sz w:val="24"/>
          <w:szCs w:val="24"/>
        </w:rPr>
        <w:t xml:space="preserve">individual company and product complexities </w:t>
      </w:r>
      <w:r w:rsidR="00964C75" w:rsidRPr="008862A3">
        <w:rPr>
          <w:sz w:val="24"/>
          <w:szCs w:val="24"/>
        </w:rPr>
        <w:t xml:space="preserve">may also seem to be barriers to a simple solution. </w:t>
      </w:r>
    </w:p>
    <w:p w:rsidR="00F9114B" w:rsidRPr="008862A3" w:rsidRDefault="00964C75" w:rsidP="0037647B">
      <w:pPr>
        <w:jc w:val="both"/>
        <w:rPr>
          <w:sz w:val="24"/>
          <w:szCs w:val="24"/>
        </w:rPr>
      </w:pPr>
      <w:r w:rsidRPr="008862A3">
        <w:rPr>
          <w:sz w:val="24"/>
          <w:szCs w:val="24"/>
        </w:rPr>
        <w:t>In this paper the natural hedge is illustrated by applying a simple method, in which company specific complexities could be allowed for</w:t>
      </w:r>
      <w:r w:rsidR="00F9114B" w:rsidRPr="008862A3">
        <w:rPr>
          <w:sz w:val="24"/>
          <w:szCs w:val="24"/>
        </w:rPr>
        <w:t>, and mortality indices could possibly be done away with</w:t>
      </w:r>
      <w:r w:rsidRPr="008862A3">
        <w:rPr>
          <w:sz w:val="24"/>
          <w:szCs w:val="24"/>
        </w:rPr>
        <w:t xml:space="preserve">.  </w:t>
      </w:r>
    </w:p>
    <w:p w:rsidR="00BC2D38" w:rsidRPr="008862A3" w:rsidRDefault="00964C75" w:rsidP="0037647B">
      <w:pPr>
        <w:jc w:val="both"/>
        <w:rPr>
          <w:sz w:val="24"/>
          <w:szCs w:val="24"/>
        </w:rPr>
      </w:pPr>
      <w:r w:rsidRPr="008862A3">
        <w:rPr>
          <w:sz w:val="24"/>
          <w:szCs w:val="24"/>
        </w:rPr>
        <w:t>We assume that companies already allow for improvements in some way</w:t>
      </w:r>
      <w:r w:rsidR="008259CE" w:rsidRPr="008862A3">
        <w:rPr>
          <w:sz w:val="24"/>
          <w:szCs w:val="24"/>
        </w:rPr>
        <w:t>, complex or not</w:t>
      </w:r>
      <w:r w:rsidRPr="008862A3">
        <w:rPr>
          <w:sz w:val="24"/>
          <w:szCs w:val="24"/>
        </w:rPr>
        <w:t xml:space="preserve">.  </w:t>
      </w:r>
      <w:r w:rsidR="008259CE" w:rsidRPr="008862A3">
        <w:rPr>
          <w:sz w:val="24"/>
          <w:szCs w:val="24"/>
        </w:rPr>
        <w:t>Our method provides</w:t>
      </w:r>
      <w:r w:rsidR="00FF6818" w:rsidRPr="008862A3">
        <w:rPr>
          <w:sz w:val="24"/>
          <w:szCs w:val="24"/>
        </w:rPr>
        <w:t xml:space="preserve"> a hedge for improvements over and above what </w:t>
      </w:r>
      <w:r w:rsidRPr="008862A3">
        <w:rPr>
          <w:sz w:val="24"/>
          <w:szCs w:val="24"/>
        </w:rPr>
        <w:t>was</w:t>
      </w:r>
      <w:r w:rsidR="00FF6818" w:rsidRPr="008862A3">
        <w:rPr>
          <w:sz w:val="24"/>
          <w:szCs w:val="24"/>
        </w:rPr>
        <w:t xml:space="preserve"> expected, i.e. 0.5% more than expected or 0.5% less than expected.  The underlying assumption for the hedge is that if mortality improves it will improve in the same direction, i.e. that our best estimates used for pricing was either too low </w:t>
      </w:r>
      <w:r w:rsidR="00BC2D38" w:rsidRPr="008862A3">
        <w:rPr>
          <w:sz w:val="24"/>
          <w:szCs w:val="24"/>
        </w:rPr>
        <w:t xml:space="preserve">or too high </w:t>
      </w:r>
      <w:r w:rsidR="00FF6818" w:rsidRPr="008862A3">
        <w:rPr>
          <w:sz w:val="24"/>
          <w:szCs w:val="24"/>
        </w:rPr>
        <w:t xml:space="preserve">for both annuities and assurances.  </w:t>
      </w:r>
      <w:r w:rsidR="00BC2D38" w:rsidRPr="008862A3">
        <w:rPr>
          <w:sz w:val="24"/>
          <w:szCs w:val="24"/>
        </w:rPr>
        <w:t xml:space="preserve">Surely a flu pandemic will increase mortality across the board, and a new medical cure </w:t>
      </w:r>
      <w:r w:rsidR="0047297C" w:rsidRPr="008862A3">
        <w:rPr>
          <w:sz w:val="24"/>
          <w:szCs w:val="24"/>
        </w:rPr>
        <w:t xml:space="preserve">for cancer </w:t>
      </w:r>
      <w:r w:rsidR="00BC2D38" w:rsidRPr="008862A3">
        <w:rPr>
          <w:sz w:val="24"/>
          <w:szCs w:val="24"/>
        </w:rPr>
        <w:t xml:space="preserve">will improve mortality of all. </w:t>
      </w:r>
      <w:r w:rsidR="00FF6818" w:rsidRPr="008862A3">
        <w:rPr>
          <w:sz w:val="24"/>
          <w:szCs w:val="24"/>
        </w:rPr>
        <w:t xml:space="preserve">In the unlikely event that </w:t>
      </w:r>
      <w:r w:rsidR="00BC2D38" w:rsidRPr="008862A3">
        <w:rPr>
          <w:sz w:val="24"/>
          <w:szCs w:val="24"/>
        </w:rPr>
        <w:t xml:space="preserve">improvements </w:t>
      </w:r>
      <w:r w:rsidR="00FF6818" w:rsidRPr="008862A3">
        <w:rPr>
          <w:sz w:val="24"/>
          <w:szCs w:val="24"/>
        </w:rPr>
        <w:t xml:space="preserve">move in different directions, the hedge will be ineffective. </w:t>
      </w:r>
    </w:p>
    <w:p w:rsidR="00BC2D38" w:rsidRPr="008862A3" w:rsidRDefault="00FF6818" w:rsidP="0037647B">
      <w:pPr>
        <w:jc w:val="both"/>
        <w:rPr>
          <w:sz w:val="24"/>
          <w:szCs w:val="24"/>
        </w:rPr>
      </w:pPr>
      <w:r w:rsidRPr="008862A3">
        <w:rPr>
          <w:sz w:val="24"/>
          <w:szCs w:val="24"/>
        </w:rPr>
        <w:t xml:space="preserve">Typically a company will be cautious in pricing and assume light mortality for annuities and heavy mortality for life cover.  Margins may be a lot smaller for life cover than for annuities.  However, whatever the bases on these products, if mortality moves in a direction over the full age range, </w:t>
      </w:r>
      <w:r w:rsidR="0047297C" w:rsidRPr="008862A3">
        <w:rPr>
          <w:sz w:val="24"/>
          <w:szCs w:val="24"/>
        </w:rPr>
        <w:t>then the present values of annuities and assurances will move in opposite directions.  T</w:t>
      </w:r>
      <w:r w:rsidRPr="008862A3">
        <w:rPr>
          <w:sz w:val="24"/>
          <w:szCs w:val="24"/>
        </w:rPr>
        <w:t xml:space="preserve">he profits/losses on life cover will be offset by losses/profits on the annuity side.  </w:t>
      </w:r>
      <w:r w:rsidR="00964C75" w:rsidRPr="008862A3">
        <w:rPr>
          <w:sz w:val="24"/>
          <w:szCs w:val="24"/>
        </w:rPr>
        <w:t xml:space="preserve">The </w:t>
      </w:r>
      <w:r w:rsidRPr="008862A3">
        <w:rPr>
          <w:sz w:val="24"/>
          <w:szCs w:val="24"/>
        </w:rPr>
        <w:t xml:space="preserve">aim </w:t>
      </w:r>
      <w:r w:rsidR="00964C75" w:rsidRPr="008862A3">
        <w:rPr>
          <w:sz w:val="24"/>
          <w:szCs w:val="24"/>
        </w:rPr>
        <w:t xml:space="preserve">is </w:t>
      </w:r>
      <w:r w:rsidRPr="008862A3">
        <w:rPr>
          <w:sz w:val="24"/>
          <w:szCs w:val="24"/>
        </w:rPr>
        <w:t xml:space="preserve">to </w:t>
      </w:r>
      <w:r w:rsidR="00964C75" w:rsidRPr="008862A3">
        <w:rPr>
          <w:sz w:val="24"/>
          <w:szCs w:val="24"/>
        </w:rPr>
        <w:t xml:space="preserve">illustrate </w:t>
      </w:r>
      <w:r w:rsidRPr="008862A3">
        <w:rPr>
          <w:sz w:val="24"/>
          <w:szCs w:val="24"/>
        </w:rPr>
        <w:t xml:space="preserve">a way to quantify this effect </w:t>
      </w:r>
      <w:r w:rsidR="00964C75" w:rsidRPr="008862A3">
        <w:rPr>
          <w:sz w:val="24"/>
          <w:szCs w:val="24"/>
        </w:rPr>
        <w:t xml:space="preserve">under </w:t>
      </w:r>
      <w:r w:rsidRPr="008862A3">
        <w:rPr>
          <w:sz w:val="24"/>
          <w:szCs w:val="24"/>
        </w:rPr>
        <w:t>various scenarios</w:t>
      </w:r>
      <w:r w:rsidR="00BC2D38" w:rsidRPr="008862A3">
        <w:rPr>
          <w:sz w:val="24"/>
          <w:szCs w:val="24"/>
        </w:rPr>
        <w:t xml:space="preserve">, for the use of internal hedging, swaps and even </w:t>
      </w:r>
      <w:proofErr w:type="spellStart"/>
      <w:r w:rsidR="00BC2D38" w:rsidRPr="008862A3">
        <w:rPr>
          <w:sz w:val="24"/>
          <w:szCs w:val="24"/>
        </w:rPr>
        <w:t>securitisation</w:t>
      </w:r>
      <w:proofErr w:type="spellEnd"/>
      <w:r w:rsidRPr="008862A3">
        <w:rPr>
          <w:sz w:val="24"/>
          <w:szCs w:val="24"/>
        </w:rPr>
        <w:t xml:space="preserve">.  </w:t>
      </w:r>
    </w:p>
    <w:p w:rsidR="00FF6818" w:rsidRPr="008862A3" w:rsidRDefault="00FF6818" w:rsidP="0037647B">
      <w:pPr>
        <w:jc w:val="both"/>
        <w:rPr>
          <w:sz w:val="24"/>
          <w:szCs w:val="24"/>
        </w:rPr>
      </w:pPr>
      <w:r w:rsidRPr="008862A3">
        <w:rPr>
          <w:sz w:val="24"/>
          <w:szCs w:val="24"/>
        </w:rPr>
        <w:t>Lapses on the life side tend to occur frequently</w:t>
      </w:r>
      <w:r w:rsidR="00BC2D38" w:rsidRPr="008862A3">
        <w:rPr>
          <w:sz w:val="24"/>
          <w:szCs w:val="24"/>
        </w:rPr>
        <w:t>, with practically none on the annuity side</w:t>
      </w:r>
      <w:r w:rsidRPr="008862A3">
        <w:rPr>
          <w:sz w:val="24"/>
          <w:szCs w:val="24"/>
        </w:rPr>
        <w:t xml:space="preserve">.  </w:t>
      </w:r>
      <w:r w:rsidR="00BC2D38" w:rsidRPr="008862A3">
        <w:rPr>
          <w:sz w:val="24"/>
          <w:szCs w:val="24"/>
        </w:rPr>
        <w:t xml:space="preserve">This does not present a problem and could be allowed for.  </w:t>
      </w:r>
      <w:r w:rsidRPr="008862A3">
        <w:rPr>
          <w:sz w:val="24"/>
          <w:szCs w:val="24"/>
        </w:rPr>
        <w:t xml:space="preserve">Although mortality changes and portfolio changes are slow, like any hedge, the natural hedge does not last forever.  Frequent rebalancing is required to </w:t>
      </w:r>
      <w:proofErr w:type="spellStart"/>
      <w:r w:rsidRPr="008862A3">
        <w:rPr>
          <w:sz w:val="24"/>
          <w:szCs w:val="24"/>
        </w:rPr>
        <w:t>optimise</w:t>
      </w:r>
      <w:proofErr w:type="spellEnd"/>
      <w:r w:rsidRPr="008862A3">
        <w:rPr>
          <w:sz w:val="24"/>
          <w:szCs w:val="24"/>
        </w:rPr>
        <w:t xml:space="preserve"> the hedge, as was also pointed out by Cox and Lin (2004).  </w:t>
      </w:r>
    </w:p>
    <w:p w:rsidR="008259CE" w:rsidRPr="008862A3" w:rsidRDefault="008259CE" w:rsidP="0037647B">
      <w:pPr>
        <w:jc w:val="both"/>
        <w:rPr>
          <w:sz w:val="24"/>
          <w:szCs w:val="24"/>
        </w:rPr>
      </w:pPr>
      <w:r w:rsidRPr="008862A3">
        <w:rPr>
          <w:sz w:val="24"/>
          <w:szCs w:val="24"/>
        </w:rPr>
        <w:lastRenderedPageBreak/>
        <w:t>This paper starts with a bit of background on longevity and the natural hedge. It then provides the theoretical background of the hedging process. Finally it introduces the Longevity Hedge Ratio (LHR) with various results under various conditions.</w:t>
      </w:r>
    </w:p>
    <w:p w:rsidR="008259CE" w:rsidRDefault="008259CE" w:rsidP="007824AC">
      <w:pPr>
        <w:pStyle w:val="FakeHeading10"/>
        <w:numPr>
          <w:ilvl w:val="0"/>
          <w:numId w:val="10"/>
        </w:numPr>
      </w:pPr>
      <w:bookmarkStart w:id="9" w:name="_Toc374709712"/>
      <w:r>
        <w:t>Background</w:t>
      </w:r>
      <w:bookmarkEnd w:id="9"/>
    </w:p>
    <w:p w:rsidR="00BC2D38" w:rsidRPr="008862A3" w:rsidRDefault="003F21A4" w:rsidP="0037647B">
      <w:pPr>
        <w:jc w:val="both"/>
        <w:rPr>
          <w:sz w:val="24"/>
          <w:szCs w:val="24"/>
        </w:rPr>
      </w:pPr>
      <w:r w:rsidRPr="008862A3">
        <w:rPr>
          <w:sz w:val="24"/>
          <w:szCs w:val="24"/>
        </w:rPr>
        <w:t>T</w:t>
      </w:r>
      <w:r w:rsidR="00FF6818" w:rsidRPr="008862A3">
        <w:rPr>
          <w:sz w:val="24"/>
          <w:szCs w:val="24"/>
        </w:rPr>
        <w:t xml:space="preserve">he insurance market in SA has managed to effectively shift most longevity risk </w:t>
      </w:r>
      <w:r w:rsidR="00BC2D38" w:rsidRPr="008862A3">
        <w:rPr>
          <w:sz w:val="24"/>
          <w:szCs w:val="24"/>
        </w:rPr>
        <w:t xml:space="preserve">for both annuities and assurances </w:t>
      </w:r>
      <w:r w:rsidR="00FF6818" w:rsidRPr="008862A3">
        <w:rPr>
          <w:sz w:val="24"/>
          <w:szCs w:val="24"/>
        </w:rPr>
        <w:t>to the insured</w:t>
      </w:r>
      <w:r w:rsidR="00BC2D38" w:rsidRPr="008862A3">
        <w:rPr>
          <w:sz w:val="24"/>
          <w:szCs w:val="24"/>
        </w:rPr>
        <w:t>, making us administrators of customer risks, rather than insurers of it</w:t>
      </w:r>
      <w:r w:rsidR="00FF6818" w:rsidRPr="008862A3">
        <w:rPr>
          <w:sz w:val="24"/>
          <w:szCs w:val="24"/>
        </w:rPr>
        <w:t xml:space="preserve">.  </w:t>
      </w:r>
    </w:p>
    <w:p w:rsidR="00FF6818" w:rsidRPr="008862A3" w:rsidRDefault="00FF6818" w:rsidP="0037647B">
      <w:pPr>
        <w:jc w:val="both"/>
        <w:rPr>
          <w:sz w:val="24"/>
          <w:szCs w:val="24"/>
        </w:rPr>
      </w:pPr>
      <w:r w:rsidRPr="008862A3">
        <w:rPr>
          <w:sz w:val="24"/>
          <w:szCs w:val="24"/>
        </w:rPr>
        <w:t xml:space="preserve">For annuities a product was created called the living annuity.  The accumulation of </w:t>
      </w:r>
      <w:r w:rsidR="00BC2D38" w:rsidRPr="008862A3">
        <w:rPr>
          <w:sz w:val="24"/>
          <w:szCs w:val="24"/>
        </w:rPr>
        <w:t xml:space="preserve">life </w:t>
      </w:r>
      <w:r w:rsidRPr="008862A3">
        <w:rPr>
          <w:sz w:val="24"/>
          <w:szCs w:val="24"/>
        </w:rPr>
        <w:t xml:space="preserve">savings is invested </w:t>
      </w:r>
      <w:r w:rsidR="00BC2D38" w:rsidRPr="008862A3">
        <w:rPr>
          <w:sz w:val="24"/>
          <w:szCs w:val="24"/>
        </w:rPr>
        <w:t xml:space="preserve">at retirement </w:t>
      </w:r>
      <w:r w:rsidRPr="008862A3">
        <w:rPr>
          <w:sz w:val="24"/>
          <w:szCs w:val="24"/>
        </w:rPr>
        <w:t xml:space="preserve">in this </w:t>
      </w:r>
      <w:r w:rsidR="00BC2D38" w:rsidRPr="008862A3">
        <w:rPr>
          <w:sz w:val="24"/>
          <w:szCs w:val="24"/>
        </w:rPr>
        <w:t>living annuity</w:t>
      </w:r>
      <w:r w:rsidRPr="008862A3">
        <w:rPr>
          <w:sz w:val="24"/>
          <w:szCs w:val="24"/>
        </w:rPr>
        <w:t xml:space="preserve">.  </w:t>
      </w:r>
      <w:r w:rsidR="00F9114B" w:rsidRPr="008862A3">
        <w:rPr>
          <w:sz w:val="24"/>
          <w:szCs w:val="24"/>
        </w:rPr>
        <w:t xml:space="preserve">It </w:t>
      </w:r>
      <w:r w:rsidR="003F21A4" w:rsidRPr="008862A3">
        <w:rPr>
          <w:sz w:val="24"/>
          <w:szCs w:val="24"/>
        </w:rPr>
        <w:t>is similar to</w:t>
      </w:r>
      <w:r w:rsidRPr="008862A3">
        <w:rPr>
          <w:sz w:val="24"/>
          <w:szCs w:val="24"/>
        </w:rPr>
        <w:t xml:space="preserve"> a bank account from which monthly or annual amounts are withdrawn by the annuitant, under certain rules. The percentage withdrawn is chosen by the annuitant at the start of each year, and can vary between 2.5% and 17.5%.  Annuitants enjoy the flexibility but carry the longevity risk, which are likely to byte on high </w:t>
      </w:r>
      <w:r w:rsidR="00040321">
        <w:rPr>
          <w:sz w:val="24"/>
          <w:szCs w:val="24"/>
        </w:rPr>
        <w:t xml:space="preserve">annual fund </w:t>
      </w:r>
      <w:r w:rsidRPr="008862A3">
        <w:rPr>
          <w:sz w:val="24"/>
          <w:szCs w:val="24"/>
        </w:rPr>
        <w:t>withdrawals</w:t>
      </w:r>
      <w:r w:rsidR="00F9114B" w:rsidRPr="008862A3">
        <w:rPr>
          <w:sz w:val="24"/>
          <w:szCs w:val="24"/>
        </w:rPr>
        <w:t xml:space="preserve"> and/or longer than expected lifetimes</w:t>
      </w:r>
      <w:r w:rsidRPr="008862A3">
        <w:rPr>
          <w:sz w:val="24"/>
          <w:szCs w:val="24"/>
        </w:rPr>
        <w:t xml:space="preserve">.  </w:t>
      </w:r>
    </w:p>
    <w:p w:rsidR="00FF6818" w:rsidRPr="008862A3" w:rsidRDefault="00FF6818" w:rsidP="0037647B">
      <w:pPr>
        <w:jc w:val="both"/>
        <w:rPr>
          <w:sz w:val="24"/>
          <w:szCs w:val="24"/>
        </w:rPr>
      </w:pPr>
      <w:r w:rsidRPr="008862A3">
        <w:rPr>
          <w:sz w:val="24"/>
          <w:szCs w:val="24"/>
        </w:rPr>
        <w:t xml:space="preserve">For life cover products </w:t>
      </w:r>
      <w:r w:rsidR="00F9114B" w:rsidRPr="008862A3">
        <w:rPr>
          <w:sz w:val="24"/>
          <w:szCs w:val="24"/>
        </w:rPr>
        <w:t>the longevity risk is also shifted in a clever way.  T</w:t>
      </w:r>
      <w:r w:rsidRPr="008862A3">
        <w:rPr>
          <w:sz w:val="24"/>
          <w:szCs w:val="24"/>
        </w:rPr>
        <w:t xml:space="preserve">he choice still </w:t>
      </w:r>
      <w:r w:rsidR="003F21A4" w:rsidRPr="008862A3">
        <w:rPr>
          <w:sz w:val="24"/>
          <w:szCs w:val="24"/>
        </w:rPr>
        <w:t>resides</w:t>
      </w:r>
      <w:r w:rsidRPr="008862A3">
        <w:rPr>
          <w:sz w:val="24"/>
          <w:szCs w:val="24"/>
        </w:rPr>
        <w:t xml:space="preserve"> with the insured to opt for constant premium, increasing or age-related premiums. However, age-related (or age-aggressive as it is called) are the ones pushed by </w:t>
      </w:r>
      <w:r w:rsidR="003F21A4" w:rsidRPr="008862A3">
        <w:rPr>
          <w:sz w:val="24"/>
          <w:szCs w:val="24"/>
        </w:rPr>
        <w:t>financial advisers</w:t>
      </w:r>
      <w:r w:rsidRPr="008862A3">
        <w:rPr>
          <w:sz w:val="24"/>
          <w:szCs w:val="24"/>
        </w:rPr>
        <w:t xml:space="preserve"> due to the very low premium early on. </w:t>
      </w:r>
      <w:r w:rsidR="008259CE" w:rsidRPr="008862A3">
        <w:rPr>
          <w:sz w:val="24"/>
          <w:szCs w:val="24"/>
        </w:rPr>
        <w:t xml:space="preserve">The premium for the next year is simply the risk premium plus margins and profit. </w:t>
      </w:r>
      <w:r w:rsidRPr="008862A3">
        <w:rPr>
          <w:sz w:val="24"/>
          <w:szCs w:val="24"/>
        </w:rPr>
        <w:t xml:space="preserve"> </w:t>
      </w:r>
      <w:r w:rsidR="003F21A4" w:rsidRPr="008862A3">
        <w:rPr>
          <w:sz w:val="24"/>
          <w:szCs w:val="24"/>
        </w:rPr>
        <w:t>T</w:t>
      </w:r>
      <w:r w:rsidRPr="008862A3">
        <w:rPr>
          <w:sz w:val="24"/>
          <w:szCs w:val="24"/>
        </w:rPr>
        <w:t xml:space="preserve">he mortality experience is </w:t>
      </w:r>
      <w:r w:rsidR="008259CE" w:rsidRPr="008862A3">
        <w:rPr>
          <w:sz w:val="24"/>
          <w:szCs w:val="24"/>
        </w:rPr>
        <w:t>then</w:t>
      </w:r>
      <w:r w:rsidRPr="008862A3">
        <w:rPr>
          <w:sz w:val="24"/>
          <w:szCs w:val="24"/>
        </w:rPr>
        <w:t xml:space="preserve"> updated annually </w:t>
      </w:r>
      <w:r w:rsidR="003F21A4" w:rsidRPr="008862A3">
        <w:rPr>
          <w:sz w:val="24"/>
          <w:szCs w:val="24"/>
        </w:rPr>
        <w:t xml:space="preserve">over the course of the contract </w:t>
      </w:r>
      <w:r w:rsidRPr="008862A3">
        <w:rPr>
          <w:sz w:val="24"/>
          <w:szCs w:val="24"/>
        </w:rPr>
        <w:t>to allow for changes</w:t>
      </w:r>
      <w:r w:rsidR="008259CE" w:rsidRPr="008862A3">
        <w:rPr>
          <w:sz w:val="24"/>
          <w:szCs w:val="24"/>
        </w:rPr>
        <w:t>, including improvements</w:t>
      </w:r>
      <w:r w:rsidRPr="008862A3">
        <w:rPr>
          <w:sz w:val="24"/>
          <w:szCs w:val="24"/>
        </w:rPr>
        <w:t xml:space="preserve">.  Since there are no cross subsidy to older ages, premiums are very low early on in life, </w:t>
      </w:r>
      <w:r w:rsidR="008259CE" w:rsidRPr="008862A3">
        <w:rPr>
          <w:sz w:val="24"/>
          <w:szCs w:val="24"/>
        </w:rPr>
        <w:t xml:space="preserve">and very marketable and competitive, </w:t>
      </w:r>
      <w:r w:rsidRPr="008862A3">
        <w:rPr>
          <w:sz w:val="24"/>
          <w:szCs w:val="24"/>
        </w:rPr>
        <w:t xml:space="preserve">but become unaffordable later on at higher ages.  This age-aggressive life cover is similar to a one year renewable life cover for life, or limited term. This reduces longevity risk considerably, as shown by Wong, </w:t>
      </w:r>
      <w:proofErr w:type="spellStart"/>
      <w:r w:rsidRPr="008862A3">
        <w:rPr>
          <w:sz w:val="24"/>
          <w:szCs w:val="24"/>
        </w:rPr>
        <w:t>Sherris</w:t>
      </w:r>
      <w:proofErr w:type="spellEnd"/>
      <w:r w:rsidRPr="008862A3">
        <w:rPr>
          <w:sz w:val="24"/>
          <w:szCs w:val="24"/>
        </w:rPr>
        <w:t xml:space="preserve"> and Stevens (2013).  However, this also reduces the hedging ability of the life cover portfolio, leaving the internal natural hedge of a company weighted towards the annuity side.</w:t>
      </w:r>
    </w:p>
    <w:p w:rsidR="001B66AF" w:rsidRPr="008862A3" w:rsidRDefault="00B50A30" w:rsidP="0037647B">
      <w:pPr>
        <w:jc w:val="both"/>
        <w:rPr>
          <w:sz w:val="24"/>
          <w:szCs w:val="24"/>
        </w:rPr>
      </w:pPr>
      <w:r w:rsidRPr="008862A3">
        <w:rPr>
          <w:sz w:val="24"/>
          <w:szCs w:val="24"/>
        </w:rPr>
        <w:t xml:space="preserve">If we consider what is happening in the world, see table </w:t>
      </w:r>
      <w:r w:rsidR="001E780C" w:rsidRPr="008862A3">
        <w:rPr>
          <w:sz w:val="24"/>
          <w:szCs w:val="24"/>
        </w:rPr>
        <w:t>1</w:t>
      </w:r>
      <w:r w:rsidRPr="008862A3">
        <w:rPr>
          <w:sz w:val="24"/>
          <w:szCs w:val="24"/>
        </w:rPr>
        <w:t xml:space="preserve">, there is definitely an improvement in mortality every year.  At the moment we measure this as a fixed annual increase over a certain period, however, it may become exponential for all we know if there </w:t>
      </w:r>
      <w:r w:rsidR="001E18A7">
        <w:rPr>
          <w:sz w:val="24"/>
          <w:szCs w:val="24"/>
        </w:rPr>
        <w:t>are</w:t>
      </w:r>
      <w:r w:rsidRPr="008862A3">
        <w:rPr>
          <w:sz w:val="24"/>
          <w:szCs w:val="24"/>
        </w:rPr>
        <w:t xml:space="preserve"> any truth in the theories of Aubrey de Grey</w:t>
      </w:r>
      <w:r w:rsidR="001E18A7">
        <w:rPr>
          <w:sz w:val="24"/>
          <w:szCs w:val="24"/>
        </w:rPr>
        <w:t xml:space="preserve"> from the </w:t>
      </w:r>
      <w:r w:rsidR="001E18A7" w:rsidRPr="001E18A7">
        <w:rPr>
          <w:sz w:val="24"/>
          <w:szCs w:val="24"/>
        </w:rPr>
        <w:t>Department of Genetics, University of Cambridge</w:t>
      </w:r>
      <w:r w:rsidRPr="008862A3">
        <w:rPr>
          <w:sz w:val="24"/>
          <w:szCs w:val="24"/>
        </w:rPr>
        <w:t>.</w:t>
      </w:r>
    </w:p>
    <w:p w:rsidR="004B01C2" w:rsidRPr="00001F76" w:rsidRDefault="00001F76" w:rsidP="00001F76">
      <w:pPr>
        <w:pStyle w:val="Caption"/>
        <w:rPr>
          <w:sz w:val="22"/>
          <w:szCs w:val="22"/>
          <w:lang w:val="en-ZA"/>
        </w:rPr>
      </w:pPr>
      <w:r w:rsidRPr="00001F76">
        <w:rPr>
          <w:sz w:val="22"/>
          <w:szCs w:val="22"/>
        </w:rPr>
        <w:t xml:space="preserve">Table </w:t>
      </w:r>
      <w:r w:rsidRPr="00001F76">
        <w:rPr>
          <w:sz w:val="22"/>
          <w:szCs w:val="22"/>
        </w:rPr>
        <w:fldChar w:fldCharType="begin"/>
      </w:r>
      <w:r w:rsidRPr="00001F76">
        <w:rPr>
          <w:sz w:val="22"/>
          <w:szCs w:val="22"/>
        </w:rPr>
        <w:instrText xml:space="preserve"> SEQ Table \* ARABIC </w:instrText>
      </w:r>
      <w:r w:rsidRPr="00001F76">
        <w:rPr>
          <w:sz w:val="22"/>
          <w:szCs w:val="22"/>
        </w:rPr>
        <w:fldChar w:fldCharType="separate"/>
      </w:r>
      <w:r w:rsidR="002B2B63">
        <w:rPr>
          <w:noProof/>
          <w:sz w:val="22"/>
          <w:szCs w:val="22"/>
        </w:rPr>
        <w:t>1</w:t>
      </w:r>
      <w:r w:rsidRPr="00001F76">
        <w:rPr>
          <w:sz w:val="22"/>
          <w:szCs w:val="22"/>
        </w:rPr>
        <w:fldChar w:fldCharType="end"/>
      </w:r>
      <w:r w:rsidRPr="00001F76">
        <w:rPr>
          <w:sz w:val="22"/>
          <w:szCs w:val="22"/>
        </w:rPr>
        <w:t>: Worldwide change in mortality</w:t>
      </w:r>
    </w:p>
    <w:tbl>
      <w:tblPr>
        <w:tblStyle w:val="LightShading1"/>
        <w:tblW w:w="0" w:type="auto"/>
        <w:tblLook w:val="0420" w:firstRow="1" w:lastRow="0" w:firstColumn="0" w:lastColumn="0" w:noHBand="0" w:noVBand="1"/>
      </w:tblPr>
      <w:tblGrid>
        <w:gridCol w:w="2764"/>
        <w:gridCol w:w="823"/>
        <w:gridCol w:w="716"/>
        <w:gridCol w:w="1126"/>
        <w:gridCol w:w="3114"/>
      </w:tblGrid>
      <w:tr w:rsidR="004B01C2" w:rsidRPr="005E4243" w:rsidTr="00A030D6">
        <w:trPr>
          <w:cnfStyle w:val="100000000000" w:firstRow="1" w:lastRow="0" w:firstColumn="0" w:lastColumn="0" w:oddVBand="0" w:evenVBand="0" w:oddHBand="0" w:evenHBand="0" w:firstRowFirstColumn="0" w:firstRowLastColumn="0" w:lastRowFirstColumn="0" w:lastRowLastColumn="0"/>
        </w:trPr>
        <w:tc>
          <w:tcPr>
            <w:tcW w:w="2764" w:type="dxa"/>
            <w:vAlign w:val="center"/>
          </w:tcPr>
          <w:p w:rsidR="004B01C2" w:rsidRPr="005E4243" w:rsidRDefault="004B01C2" w:rsidP="00846A41">
            <w:pPr>
              <w:spacing w:line="276" w:lineRule="auto"/>
              <w:jc w:val="both"/>
              <w:rPr>
                <w:sz w:val="24"/>
                <w:szCs w:val="24"/>
                <w:lang w:val="en-ZA"/>
              </w:rPr>
            </w:pPr>
            <w:r w:rsidRPr="005E4243">
              <w:rPr>
                <w:sz w:val="24"/>
                <w:szCs w:val="24"/>
                <w:lang w:val="en-ZA"/>
              </w:rPr>
              <w:t>Country</w:t>
            </w:r>
          </w:p>
        </w:tc>
        <w:tc>
          <w:tcPr>
            <w:tcW w:w="823" w:type="dxa"/>
            <w:vAlign w:val="center"/>
          </w:tcPr>
          <w:p w:rsidR="004B01C2" w:rsidRPr="005E4243" w:rsidRDefault="004B01C2" w:rsidP="00846A41">
            <w:pPr>
              <w:spacing w:line="276" w:lineRule="auto"/>
              <w:jc w:val="both"/>
              <w:rPr>
                <w:sz w:val="24"/>
                <w:szCs w:val="24"/>
                <w:lang w:val="en-ZA"/>
              </w:rPr>
            </w:pPr>
            <w:r w:rsidRPr="005E4243">
              <w:rPr>
                <w:sz w:val="24"/>
                <w:szCs w:val="24"/>
                <w:lang w:val="en-ZA"/>
              </w:rPr>
              <w:t>Year</w:t>
            </w:r>
          </w:p>
        </w:tc>
        <w:tc>
          <w:tcPr>
            <w:tcW w:w="716" w:type="dxa"/>
            <w:vAlign w:val="center"/>
          </w:tcPr>
          <w:p w:rsidR="004B01C2" w:rsidRPr="005E4243" w:rsidRDefault="004B01C2" w:rsidP="00846A41">
            <w:pPr>
              <w:spacing w:line="276" w:lineRule="auto"/>
              <w:jc w:val="both"/>
              <w:rPr>
                <w:sz w:val="24"/>
                <w:szCs w:val="24"/>
                <w:lang w:val="en-ZA"/>
              </w:rPr>
            </w:pPr>
            <w:r w:rsidRPr="005E4243">
              <w:rPr>
                <w:sz w:val="24"/>
                <w:szCs w:val="24"/>
                <w:lang w:val="en-ZA"/>
              </w:rPr>
              <w:t>Age</w:t>
            </w:r>
          </w:p>
        </w:tc>
        <w:tc>
          <w:tcPr>
            <w:tcW w:w="1126" w:type="dxa"/>
            <w:vAlign w:val="center"/>
          </w:tcPr>
          <w:p w:rsidR="004B01C2" w:rsidRPr="005E4243" w:rsidRDefault="004B01C2" w:rsidP="00846A41">
            <w:pPr>
              <w:spacing w:line="276" w:lineRule="auto"/>
              <w:jc w:val="both"/>
              <w:rPr>
                <w:sz w:val="24"/>
                <w:szCs w:val="24"/>
                <w:lang w:val="en-ZA"/>
              </w:rPr>
            </w:pPr>
            <w:proofErr w:type="spellStart"/>
            <w:r w:rsidRPr="005E4243">
              <w:rPr>
                <w:sz w:val="24"/>
                <w:szCs w:val="24"/>
                <w:vertAlign w:val="subscript"/>
                <w:lang w:val="en-ZA"/>
              </w:rPr>
              <w:t>n</w:t>
            </w:r>
            <w:r w:rsidRPr="005E4243">
              <w:rPr>
                <w:sz w:val="24"/>
                <w:szCs w:val="24"/>
                <w:lang w:val="en-ZA"/>
              </w:rPr>
              <w:t>q</w:t>
            </w:r>
            <w:r w:rsidRPr="005E4243">
              <w:rPr>
                <w:sz w:val="24"/>
                <w:szCs w:val="24"/>
                <w:vertAlign w:val="subscript"/>
                <w:lang w:val="en-ZA"/>
              </w:rPr>
              <w:t>x</w:t>
            </w:r>
            <w:proofErr w:type="spellEnd"/>
          </w:p>
        </w:tc>
        <w:tc>
          <w:tcPr>
            <w:tcW w:w="3114" w:type="dxa"/>
            <w:vAlign w:val="center"/>
          </w:tcPr>
          <w:p w:rsidR="00A030D6" w:rsidRPr="005E4243" w:rsidRDefault="004B01C2" w:rsidP="00846A41">
            <w:pPr>
              <w:spacing w:line="276" w:lineRule="auto"/>
              <w:jc w:val="both"/>
              <w:rPr>
                <w:sz w:val="24"/>
                <w:szCs w:val="24"/>
                <w:lang w:val="en-ZA"/>
              </w:rPr>
            </w:pPr>
            <w:r w:rsidRPr="005E4243">
              <w:rPr>
                <w:sz w:val="24"/>
                <w:szCs w:val="24"/>
                <w:lang w:val="en-ZA"/>
              </w:rPr>
              <w:t>Annual compound</w:t>
            </w:r>
          </w:p>
          <w:p w:rsidR="004B01C2" w:rsidRPr="005E4243" w:rsidRDefault="00A030D6" w:rsidP="00846A41">
            <w:pPr>
              <w:spacing w:line="276" w:lineRule="auto"/>
              <w:jc w:val="both"/>
              <w:rPr>
                <w:sz w:val="24"/>
                <w:szCs w:val="24"/>
                <w:lang w:val="en-ZA"/>
              </w:rPr>
            </w:pPr>
            <w:r w:rsidRPr="005E4243">
              <w:rPr>
                <w:sz w:val="24"/>
                <w:szCs w:val="24"/>
                <w:lang w:val="en-ZA"/>
              </w:rPr>
              <w:t>c</w:t>
            </w:r>
            <w:r w:rsidR="007B5778" w:rsidRPr="005E4243">
              <w:rPr>
                <w:sz w:val="24"/>
                <w:szCs w:val="24"/>
                <w:lang w:val="en-ZA"/>
              </w:rPr>
              <w:t>hange</w:t>
            </w:r>
            <w:r w:rsidRPr="005E4243">
              <w:rPr>
                <w:sz w:val="24"/>
                <w:szCs w:val="24"/>
                <w:lang w:val="en-ZA"/>
              </w:rPr>
              <w:t xml:space="preserve"> in mortality</w:t>
            </w:r>
          </w:p>
        </w:tc>
      </w:tr>
      <w:tr w:rsidR="004B01C2" w:rsidRPr="005E4243" w:rsidTr="00A030D6">
        <w:trPr>
          <w:cnfStyle w:val="000000100000" w:firstRow="0" w:lastRow="0" w:firstColumn="0" w:lastColumn="0" w:oddVBand="0" w:evenVBand="0" w:oddHBand="1" w:evenHBand="0" w:firstRowFirstColumn="0" w:firstRowLastColumn="0" w:lastRowFirstColumn="0" w:lastRowLastColumn="0"/>
        </w:trPr>
        <w:tc>
          <w:tcPr>
            <w:tcW w:w="2764"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Australia</w:t>
            </w:r>
          </w:p>
        </w:tc>
        <w:tc>
          <w:tcPr>
            <w:tcW w:w="823"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1990</w:t>
            </w:r>
          </w:p>
        </w:tc>
        <w:tc>
          <w:tcPr>
            <w:tcW w:w="71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25</w:t>
            </w:r>
          </w:p>
        </w:tc>
        <w:tc>
          <w:tcPr>
            <w:tcW w:w="112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0.00460</w:t>
            </w:r>
          </w:p>
        </w:tc>
        <w:tc>
          <w:tcPr>
            <w:tcW w:w="311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r>
      <w:tr w:rsidR="004B01C2" w:rsidRPr="005E4243" w:rsidTr="00A030D6">
        <w:tc>
          <w:tcPr>
            <w:tcW w:w="276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c>
          <w:tcPr>
            <w:tcW w:w="823"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2008</w:t>
            </w:r>
          </w:p>
        </w:tc>
        <w:tc>
          <w:tcPr>
            <w:tcW w:w="71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25</w:t>
            </w:r>
          </w:p>
        </w:tc>
        <w:tc>
          <w:tcPr>
            <w:tcW w:w="112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0.00293</w:t>
            </w:r>
          </w:p>
        </w:tc>
        <w:tc>
          <w:tcPr>
            <w:tcW w:w="3114" w:type="dxa"/>
            <w:shd w:val="clear" w:color="auto" w:fill="BFBFBF" w:themeFill="background1" w:themeFillShade="BF"/>
          </w:tcPr>
          <w:p w:rsidR="004B01C2" w:rsidRPr="005E4243" w:rsidRDefault="007B5778" w:rsidP="00846A41">
            <w:pPr>
              <w:spacing w:line="276" w:lineRule="auto"/>
              <w:jc w:val="both"/>
              <w:rPr>
                <w:sz w:val="24"/>
                <w:szCs w:val="24"/>
                <w:lang w:val="en-ZA"/>
              </w:rPr>
            </w:pPr>
            <w:r w:rsidRPr="005E4243">
              <w:rPr>
                <w:sz w:val="24"/>
                <w:szCs w:val="24"/>
                <w:lang w:val="en-ZA"/>
              </w:rPr>
              <w:t>-2.54%</w:t>
            </w:r>
          </w:p>
        </w:tc>
      </w:tr>
      <w:tr w:rsidR="004B01C2" w:rsidRPr="005E4243" w:rsidTr="00A030D6">
        <w:trPr>
          <w:cnfStyle w:val="000000100000" w:firstRow="0" w:lastRow="0" w:firstColumn="0" w:lastColumn="0" w:oddVBand="0" w:evenVBand="0" w:oddHBand="1" w:evenHBand="0" w:firstRowFirstColumn="0" w:firstRowLastColumn="0" w:lastRowFirstColumn="0" w:lastRowLastColumn="0"/>
        </w:trPr>
        <w:tc>
          <w:tcPr>
            <w:tcW w:w="276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c>
          <w:tcPr>
            <w:tcW w:w="823"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1990</w:t>
            </w:r>
          </w:p>
        </w:tc>
        <w:tc>
          <w:tcPr>
            <w:tcW w:w="71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55</w:t>
            </w:r>
          </w:p>
        </w:tc>
        <w:tc>
          <w:tcPr>
            <w:tcW w:w="112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0.03524</w:t>
            </w:r>
          </w:p>
        </w:tc>
        <w:tc>
          <w:tcPr>
            <w:tcW w:w="311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r>
      <w:tr w:rsidR="004B01C2" w:rsidRPr="005E4243" w:rsidTr="00A030D6">
        <w:tc>
          <w:tcPr>
            <w:tcW w:w="276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c>
          <w:tcPr>
            <w:tcW w:w="823"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2008</w:t>
            </w:r>
          </w:p>
        </w:tc>
        <w:tc>
          <w:tcPr>
            <w:tcW w:w="71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55</w:t>
            </w:r>
          </w:p>
        </w:tc>
        <w:tc>
          <w:tcPr>
            <w:tcW w:w="112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0.02063</w:t>
            </w:r>
          </w:p>
        </w:tc>
        <w:tc>
          <w:tcPr>
            <w:tcW w:w="3114" w:type="dxa"/>
            <w:shd w:val="clear" w:color="auto" w:fill="BFBFBF" w:themeFill="background1" w:themeFillShade="BF"/>
          </w:tcPr>
          <w:p w:rsidR="004B01C2" w:rsidRPr="005E4243" w:rsidRDefault="007B5778" w:rsidP="00846A41">
            <w:pPr>
              <w:spacing w:line="276" w:lineRule="auto"/>
              <w:jc w:val="both"/>
              <w:rPr>
                <w:sz w:val="24"/>
                <w:szCs w:val="24"/>
                <w:lang w:val="en-ZA"/>
              </w:rPr>
            </w:pPr>
            <w:r w:rsidRPr="005E4243">
              <w:rPr>
                <w:sz w:val="24"/>
                <w:szCs w:val="24"/>
                <w:lang w:val="en-ZA"/>
              </w:rPr>
              <w:t>-3.02%</w:t>
            </w:r>
          </w:p>
        </w:tc>
      </w:tr>
      <w:tr w:rsidR="004B01C2" w:rsidRPr="005E4243" w:rsidTr="00A030D6">
        <w:trPr>
          <w:cnfStyle w:val="000000100000" w:firstRow="0" w:lastRow="0" w:firstColumn="0" w:lastColumn="0" w:oddVBand="0" w:evenVBand="0" w:oddHBand="1" w:evenHBand="0" w:firstRowFirstColumn="0" w:firstRowLastColumn="0" w:lastRowFirstColumn="0" w:lastRowLastColumn="0"/>
        </w:trPr>
        <w:tc>
          <w:tcPr>
            <w:tcW w:w="2764"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Brazil</w:t>
            </w:r>
          </w:p>
        </w:tc>
        <w:tc>
          <w:tcPr>
            <w:tcW w:w="823"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1990</w:t>
            </w:r>
          </w:p>
        </w:tc>
        <w:tc>
          <w:tcPr>
            <w:tcW w:w="716"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25</w:t>
            </w:r>
          </w:p>
        </w:tc>
        <w:tc>
          <w:tcPr>
            <w:tcW w:w="1126"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0.01096</w:t>
            </w:r>
          </w:p>
        </w:tc>
        <w:tc>
          <w:tcPr>
            <w:tcW w:w="3114" w:type="dxa"/>
            <w:shd w:val="clear" w:color="auto" w:fill="auto"/>
          </w:tcPr>
          <w:p w:rsidR="004B01C2" w:rsidRPr="005E4243" w:rsidRDefault="004B01C2" w:rsidP="00846A41">
            <w:pPr>
              <w:spacing w:line="276" w:lineRule="auto"/>
              <w:jc w:val="both"/>
              <w:rPr>
                <w:sz w:val="24"/>
                <w:szCs w:val="24"/>
                <w:lang w:val="en-ZA"/>
              </w:rPr>
            </w:pPr>
          </w:p>
        </w:tc>
      </w:tr>
      <w:tr w:rsidR="004B01C2" w:rsidRPr="005E4243" w:rsidTr="00A030D6">
        <w:tc>
          <w:tcPr>
            <w:tcW w:w="2764" w:type="dxa"/>
            <w:shd w:val="clear" w:color="auto" w:fill="auto"/>
          </w:tcPr>
          <w:p w:rsidR="004B01C2" w:rsidRPr="005E4243" w:rsidRDefault="004B01C2" w:rsidP="00846A41">
            <w:pPr>
              <w:spacing w:line="276" w:lineRule="auto"/>
              <w:jc w:val="both"/>
              <w:rPr>
                <w:sz w:val="24"/>
                <w:szCs w:val="24"/>
                <w:lang w:val="en-ZA"/>
              </w:rPr>
            </w:pPr>
          </w:p>
        </w:tc>
        <w:tc>
          <w:tcPr>
            <w:tcW w:w="823"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2008</w:t>
            </w:r>
          </w:p>
        </w:tc>
        <w:tc>
          <w:tcPr>
            <w:tcW w:w="716"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25</w:t>
            </w:r>
          </w:p>
        </w:tc>
        <w:tc>
          <w:tcPr>
            <w:tcW w:w="1126"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0.00847</w:t>
            </w:r>
          </w:p>
        </w:tc>
        <w:tc>
          <w:tcPr>
            <w:tcW w:w="3114" w:type="dxa"/>
            <w:shd w:val="clear" w:color="auto" w:fill="auto"/>
          </w:tcPr>
          <w:p w:rsidR="004B01C2" w:rsidRPr="005E4243" w:rsidRDefault="007B5778" w:rsidP="00846A41">
            <w:pPr>
              <w:spacing w:line="276" w:lineRule="auto"/>
              <w:jc w:val="both"/>
              <w:rPr>
                <w:sz w:val="24"/>
                <w:szCs w:val="24"/>
                <w:lang w:val="en-ZA"/>
              </w:rPr>
            </w:pPr>
            <w:r w:rsidRPr="005E4243">
              <w:rPr>
                <w:sz w:val="24"/>
                <w:szCs w:val="24"/>
                <w:lang w:val="en-ZA"/>
              </w:rPr>
              <w:t>-1.44%</w:t>
            </w:r>
          </w:p>
        </w:tc>
      </w:tr>
      <w:tr w:rsidR="004B01C2" w:rsidRPr="005E4243" w:rsidTr="00A030D6">
        <w:trPr>
          <w:cnfStyle w:val="000000100000" w:firstRow="0" w:lastRow="0" w:firstColumn="0" w:lastColumn="0" w:oddVBand="0" w:evenVBand="0" w:oddHBand="1" w:evenHBand="0" w:firstRowFirstColumn="0" w:firstRowLastColumn="0" w:lastRowFirstColumn="0" w:lastRowLastColumn="0"/>
        </w:trPr>
        <w:tc>
          <w:tcPr>
            <w:tcW w:w="2764" w:type="dxa"/>
            <w:shd w:val="clear" w:color="auto" w:fill="auto"/>
          </w:tcPr>
          <w:p w:rsidR="004B01C2" w:rsidRPr="005E4243" w:rsidRDefault="004B01C2" w:rsidP="00846A41">
            <w:pPr>
              <w:spacing w:line="276" w:lineRule="auto"/>
              <w:jc w:val="both"/>
              <w:rPr>
                <w:sz w:val="24"/>
                <w:szCs w:val="24"/>
                <w:lang w:val="en-ZA"/>
              </w:rPr>
            </w:pPr>
          </w:p>
        </w:tc>
        <w:tc>
          <w:tcPr>
            <w:tcW w:w="823"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1990</w:t>
            </w:r>
          </w:p>
        </w:tc>
        <w:tc>
          <w:tcPr>
            <w:tcW w:w="716"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55</w:t>
            </w:r>
          </w:p>
        </w:tc>
        <w:tc>
          <w:tcPr>
            <w:tcW w:w="1126"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0.06932</w:t>
            </w:r>
          </w:p>
        </w:tc>
        <w:tc>
          <w:tcPr>
            <w:tcW w:w="3114" w:type="dxa"/>
            <w:shd w:val="clear" w:color="auto" w:fill="auto"/>
          </w:tcPr>
          <w:p w:rsidR="004B01C2" w:rsidRPr="005E4243" w:rsidRDefault="004B01C2" w:rsidP="00846A41">
            <w:pPr>
              <w:spacing w:line="276" w:lineRule="auto"/>
              <w:jc w:val="both"/>
              <w:rPr>
                <w:sz w:val="24"/>
                <w:szCs w:val="24"/>
                <w:lang w:val="en-ZA"/>
              </w:rPr>
            </w:pPr>
          </w:p>
        </w:tc>
      </w:tr>
      <w:tr w:rsidR="004B01C2" w:rsidRPr="005E4243" w:rsidTr="00A030D6">
        <w:tc>
          <w:tcPr>
            <w:tcW w:w="2764" w:type="dxa"/>
            <w:shd w:val="clear" w:color="auto" w:fill="auto"/>
          </w:tcPr>
          <w:p w:rsidR="004B01C2" w:rsidRPr="005E4243" w:rsidRDefault="004B01C2" w:rsidP="00846A41">
            <w:pPr>
              <w:spacing w:line="276" w:lineRule="auto"/>
              <w:jc w:val="both"/>
              <w:rPr>
                <w:sz w:val="24"/>
                <w:szCs w:val="24"/>
                <w:lang w:val="en-ZA"/>
              </w:rPr>
            </w:pPr>
          </w:p>
        </w:tc>
        <w:tc>
          <w:tcPr>
            <w:tcW w:w="823"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2008</w:t>
            </w:r>
          </w:p>
        </w:tc>
        <w:tc>
          <w:tcPr>
            <w:tcW w:w="716"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55</w:t>
            </w:r>
          </w:p>
        </w:tc>
        <w:tc>
          <w:tcPr>
            <w:tcW w:w="1126"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0.04954</w:t>
            </w:r>
          </w:p>
        </w:tc>
        <w:tc>
          <w:tcPr>
            <w:tcW w:w="3114" w:type="dxa"/>
            <w:shd w:val="clear" w:color="auto" w:fill="auto"/>
          </w:tcPr>
          <w:p w:rsidR="004B01C2" w:rsidRPr="005E4243" w:rsidRDefault="007B5778" w:rsidP="00846A41">
            <w:pPr>
              <w:spacing w:line="276" w:lineRule="auto"/>
              <w:jc w:val="both"/>
              <w:rPr>
                <w:sz w:val="24"/>
                <w:szCs w:val="24"/>
                <w:lang w:val="en-ZA"/>
              </w:rPr>
            </w:pPr>
            <w:r w:rsidRPr="005E4243">
              <w:rPr>
                <w:sz w:val="24"/>
                <w:szCs w:val="24"/>
                <w:lang w:val="en-ZA"/>
              </w:rPr>
              <w:t>-1.88%</w:t>
            </w:r>
          </w:p>
        </w:tc>
      </w:tr>
      <w:tr w:rsidR="00A030D6" w:rsidRPr="005E4243" w:rsidTr="00A030D6">
        <w:trPr>
          <w:cnfStyle w:val="000000100000" w:firstRow="0" w:lastRow="0" w:firstColumn="0" w:lastColumn="0" w:oddVBand="0" w:evenVBand="0" w:oddHBand="1" w:evenHBand="0" w:firstRowFirstColumn="0" w:firstRowLastColumn="0" w:lastRowFirstColumn="0" w:lastRowLastColumn="0"/>
        </w:trPr>
        <w:tc>
          <w:tcPr>
            <w:tcW w:w="2764"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China</w:t>
            </w:r>
          </w:p>
        </w:tc>
        <w:tc>
          <w:tcPr>
            <w:tcW w:w="823"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1990</w:t>
            </w:r>
          </w:p>
        </w:tc>
        <w:tc>
          <w:tcPr>
            <w:tcW w:w="71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25</w:t>
            </w:r>
          </w:p>
        </w:tc>
        <w:tc>
          <w:tcPr>
            <w:tcW w:w="1126" w:type="dxa"/>
            <w:shd w:val="clear" w:color="auto" w:fill="BFBFBF" w:themeFill="background1" w:themeFillShade="BF"/>
          </w:tcPr>
          <w:p w:rsidR="004B01C2" w:rsidRPr="005E4243" w:rsidRDefault="00011D26" w:rsidP="00846A41">
            <w:pPr>
              <w:spacing w:line="276" w:lineRule="auto"/>
              <w:jc w:val="both"/>
              <w:rPr>
                <w:sz w:val="24"/>
                <w:szCs w:val="24"/>
                <w:lang w:val="en-ZA"/>
              </w:rPr>
            </w:pPr>
            <w:r w:rsidRPr="005E4243">
              <w:rPr>
                <w:sz w:val="24"/>
                <w:szCs w:val="24"/>
                <w:lang w:val="en-ZA"/>
              </w:rPr>
              <w:t>0.00781</w:t>
            </w:r>
          </w:p>
        </w:tc>
        <w:tc>
          <w:tcPr>
            <w:tcW w:w="311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r>
      <w:tr w:rsidR="004B01C2" w:rsidRPr="005E4243" w:rsidTr="00A030D6">
        <w:tc>
          <w:tcPr>
            <w:tcW w:w="276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c>
          <w:tcPr>
            <w:tcW w:w="823"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2008</w:t>
            </w:r>
          </w:p>
        </w:tc>
        <w:tc>
          <w:tcPr>
            <w:tcW w:w="71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25</w:t>
            </w:r>
          </w:p>
        </w:tc>
        <w:tc>
          <w:tcPr>
            <w:tcW w:w="1126" w:type="dxa"/>
            <w:shd w:val="clear" w:color="auto" w:fill="BFBFBF" w:themeFill="background1" w:themeFillShade="BF"/>
          </w:tcPr>
          <w:p w:rsidR="004B01C2" w:rsidRPr="005E4243" w:rsidRDefault="00011D26" w:rsidP="00846A41">
            <w:pPr>
              <w:spacing w:line="276" w:lineRule="auto"/>
              <w:jc w:val="both"/>
              <w:rPr>
                <w:sz w:val="24"/>
                <w:szCs w:val="24"/>
                <w:lang w:val="en-ZA"/>
              </w:rPr>
            </w:pPr>
            <w:r w:rsidRPr="005E4243">
              <w:rPr>
                <w:sz w:val="24"/>
                <w:szCs w:val="24"/>
                <w:lang w:val="en-ZA"/>
              </w:rPr>
              <w:t>0.00436</w:t>
            </w:r>
          </w:p>
        </w:tc>
        <w:tc>
          <w:tcPr>
            <w:tcW w:w="3114" w:type="dxa"/>
            <w:shd w:val="clear" w:color="auto" w:fill="BFBFBF" w:themeFill="background1" w:themeFillShade="BF"/>
          </w:tcPr>
          <w:p w:rsidR="004B01C2" w:rsidRPr="005E4243" w:rsidRDefault="007B5778" w:rsidP="00846A41">
            <w:pPr>
              <w:spacing w:line="276" w:lineRule="auto"/>
              <w:jc w:val="both"/>
              <w:rPr>
                <w:sz w:val="24"/>
                <w:szCs w:val="24"/>
                <w:lang w:val="en-ZA"/>
              </w:rPr>
            </w:pPr>
            <w:r w:rsidRPr="005E4243">
              <w:rPr>
                <w:sz w:val="24"/>
                <w:szCs w:val="24"/>
                <w:lang w:val="en-ZA"/>
              </w:rPr>
              <w:t>-3.29%</w:t>
            </w:r>
          </w:p>
        </w:tc>
      </w:tr>
      <w:tr w:rsidR="004B01C2" w:rsidRPr="005E4243" w:rsidTr="00A030D6">
        <w:trPr>
          <w:cnfStyle w:val="000000100000" w:firstRow="0" w:lastRow="0" w:firstColumn="0" w:lastColumn="0" w:oddVBand="0" w:evenVBand="0" w:oddHBand="1" w:evenHBand="0" w:firstRowFirstColumn="0" w:firstRowLastColumn="0" w:lastRowFirstColumn="0" w:lastRowLastColumn="0"/>
        </w:trPr>
        <w:tc>
          <w:tcPr>
            <w:tcW w:w="276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c>
          <w:tcPr>
            <w:tcW w:w="823"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1990</w:t>
            </w:r>
          </w:p>
        </w:tc>
        <w:tc>
          <w:tcPr>
            <w:tcW w:w="71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55</w:t>
            </w:r>
          </w:p>
        </w:tc>
        <w:tc>
          <w:tcPr>
            <w:tcW w:w="1126" w:type="dxa"/>
            <w:shd w:val="clear" w:color="auto" w:fill="BFBFBF" w:themeFill="background1" w:themeFillShade="BF"/>
          </w:tcPr>
          <w:p w:rsidR="004B01C2" w:rsidRPr="005E4243" w:rsidRDefault="00011D26" w:rsidP="00846A41">
            <w:pPr>
              <w:spacing w:line="276" w:lineRule="auto"/>
              <w:jc w:val="both"/>
              <w:rPr>
                <w:sz w:val="24"/>
                <w:szCs w:val="24"/>
                <w:lang w:val="en-ZA"/>
              </w:rPr>
            </w:pPr>
            <w:r w:rsidRPr="005E4243">
              <w:rPr>
                <w:sz w:val="24"/>
                <w:szCs w:val="24"/>
                <w:lang w:val="en-ZA"/>
              </w:rPr>
              <w:t>0.06092</w:t>
            </w:r>
          </w:p>
        </w:tc>
        <w:tc>
          <w:tcPr>
            <w:tcW w:w="311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r>
      <w:tr w:rsidR="004B01C2" w:rsidRPr="005E4243" w:rsidTr="00A030D6">
        <w:tc>
          <w:tcPr>
            <w:tcW w:w="276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c>
          <w:tcPr>
            <w:tcW w:w="823"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2008</w:t>
            </w:r>
          </w:p>
        </w:tc>
        <w:tc>
          <w:tcPr>
            <w:tcW w:w="71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55</w:t>
            </w:r>
          </w:p>
        </w:tc>
        <w:tc>
          <w:tcPr>
            <w:tcW w:w="1126" w:type="dxa"/>
            <w:shd w:val="clear" w:color="auto" w:fill="BFBFBF" w:themeFill="background1" w:themeFillShade="BF"/>
          </w:tcPr>
          <w:p w:rsidR="004B01C2" w:rsidRPr="005E4243" w:rsidRDefault="00011D26" w:rsidP="00846A41">
            <w:pPr>
              <w:spacing w:line="276" w:lineRule="auto"/>
              <w:jc w:val="both"/>
              <w:rPr>
                <w:sz w:val="24"/>
                <w:szCs w:val="24"/>
                <w:lang w:val="en-ZA"/>
              </w:rPr>
            </w:pPr>
            <w:r w:rsidRPr="005E4243">
              <w:rPr>
                <w:sz w:val="24"/>
                <w:szCs w:val="24"/>
                <w:lang w:val="en-ZA"/>
              </w:rPr>
              <w:t>0.04151</w:t>
            </w:r>
          </w:p>
        </w:tc>
        <w:tc>
          <w:tcPr>
            <w:tcW w:w="3114" w:type="dxa"/>
            <w:shd w:val="clear" w:color="auto" w:fill="BFBFBF" w:themeFill="background1" w:themeFillShade="BF"/>
          </w:tcPr>
          <w:p w:rsidR="004B01C2" w:rsidRPr="005E4243" w:rsidRDefault="007B5778" w:rsidP="00846A41">
            <w:pPr>
              <w:spacing w:line="276" w:lineRule="auto"/>
              <w:jc w:val="both"/>
              <w:rPr>
                <w:sz w:val="24"/>
                <w:szCs w:val="24"/>
                <w:lang w:val="en-ZA"/>
              </w:rPr>
            </w:pPr>
            <w:r w:rsidRPr="005E4243">
              <w:rPr>
                <w:sz w:val="24"/>
                <w:szCs w:val="24"/>
                <w:lang w:val="en-ZA"/>
              </w:rPr>
              <w:t>-2.15%</w:t>
            </w:r>
          </w:p>
        </w:tc>
      </w:tr>
      <w:tr w:rsidR="004B01C2" w:rsidRPr="005E4243" w:rsidTr="00463C6E">
        <w:trPr>
          <w:cnfStyle w:val="000000100000" w:firstRow="0" w:lastRow="0" w:firstColumn="0" w:lastColumn="0" w:oddVBand="0" w:evenVBand="0" w:oddHBand="1" w:evenHBand="0" w:firstRowFirstColumn="0" w:firstRowLastColumn="0" w:lastRowFirstColumn="0" w:lastRowLastColumn="0"/>
        </w:trPr>
        <w:tc>
          <w:tcPr>
            <w:tcW w:w="2764"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Germany</w:t>
            </w:r>
          </w:p>
        </w:tc>
        <w:tc>
          <w:tcPr>
            <w:tcW w:w="823"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1990</w:t>
            </w:r>
          </w:p>
        </w:tc>
        <w:tc>
          <w:tcPr>
            <w:tcW w:w="716"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25</w:t>
            </w:r>
          </w:p>
        </w:tc>
        <w:tc>
          <w:tcPr>
            <w:tcW w:w="1126" w:type="dxa"/>
            <w:shd w:val="clear" w:color="auto" w:fill="auto"/>
          </w:tcPr>
          <w:p w:rsidR="004B01C2" w:rsidRPr="005E4243" w:rsidRDefault="00A50BAC" w:rsidP="00846A41">
            <w:pPr>
              <w:spacing w:line="276" w:lineRule="auto"/>
              <w:jc w:val="both"/>
              <w:rPr>
                <w:sz w:val="24"/>
                <w:szCs w:val="24"/>
                <w:lang w:val="en-ZA"/>
              </w:rPr>
            </w:pPr>
            <w:r w:rsidRPr="005E4243">
              <w:rPr>
                <w:sz w:val="24"/>
                <w:szCs w:val="24"/>
                <w:lang w:val="en-ZA"/>
              </w:rPr>
              <w:t>0.00396</w:t>
            </w:r>
          </w:p>
        </w:tc>
        <w:tc>
          <w:tcPr>
            <w:tcW w:w="3114" w:type="dxa"/>
            <w:shd w:val="clear" w:color="auto" w:fill="auto"/>
          </w:tcPr>
          <w:p w:rsidR="004B01C2" w:rsidRPr="005E4243" w:rsidRDefault="004B01C2" w:rsidP="00846A41">
            <w:pPr>
              <w:spacing w:line="276" w:lineRule="auto"/>
              <w:jc w:val="both"/>
              <w:rPr>
                <w:sz w:val="24"/>
                <w:szCs w:val="24"/>
                <w:lang w:val="en-ZA"/>
              </w:rPr>
            </w:pPr>
          </w:p>
        </w:tc>
      </w:tr>
      <w:tr w:rsidR="004B01C2" w:rsidRPr="005E4243" w:rsidTr="00463C6E">
        <w:tc>
          <w:tcPr>
            <w:tcW w:w="2764" w:type="dxa"/>
            <w:shd w:val="clear" w:color="auto" w:fill="auto"/>
          </w:tcPr>
          <w:p w:rsidR="004B01C2" w:rsidRPr="005E4243" w:rsidRDefault="004B01C2" w:rsidP="00846A41">
            <w:pPr>
              <w:spacing w:line="276" w:lineRule="auto"/>
              <w:jc w:val="both"/>
              <w:rPr>
                <w:sz w:val="24"/>
                <w:szCs w:val="24"/>
                <w:lang w:val="en-ZA"/>
              </w:rPr>
            </w:pPr>
          </w:p>
        </w:tc>
        <w:tc>
          <w:tcPr>
            <w:tcW w:w="823"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2008</w:t>
            </w:r>
          </w:p>
        </w:tc>
        <w:tc>
          <w:tcPr>
            <w:tcW w:w="716"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25</w:t>
            </w:r>
          </w:p>
        </w:tc>
        <w:tc>
          <w:tcPr>
            <w:tcW w:w="1126" w:type="dxa"/>
            <w:shd w:val="clear" w:color="auto" w:fill="auto"/>
          </w:tcPr>
          <w:p w:rsidR="004B01C2" w:rsidRPr="005E4243" w:rsidRDefault="00A50BAC" w:rsidP="00846A41">
            <w:pPr>
              <w:spacing w:line="276" w:lineRule="auto"/>
              <w:jc w:val="both"/>
              <w:rPr>
                <w:sz w:val="24"/>
                <w:szCs w:val="24"/>
                <w:lang w:val="en-ZA"/>
              </w:rPr>
            </w:pPr>
            <w:r w:rsidRPr="005E4243">
              <w:rPr>
                <w:sz w:val="24"/>
                <w:szCs w:val="24"/>
                <w:lang w:val="en-ZA"/>
              </w:rPr>
              <w:t>0.00215</w:t>
            </w:r>
          </w:p>
        </w:tc>
        <w:tc>
          <w:tcPr>
            <w:tcW w:w="3114" w:type="dxa"/>
            <w:shd w:val="clear" w:color="auto" w:fill="auto"/>
          </w:tcPr>
          <w:p w:rsidR="004B01C2" w:rsidRPr="005E4243" w:rsidRDefault="007B5778" w:rsidP="00846A41">
            <w:pPr>
              <w:spacing w:line="276" w:lineRule="auto"/>
              <w:jc w:val="both"/>
              <w:rPr>
                <w:sz w:val="24"/>
                <w:szCs w:val="24"/>
                <w:lang w:val="en-ZA"/>
              </w:rPr>
            </w:pPr>
            <w:r w:rsidRPr="005E4243">
              <w:rPr>
                <w:sz w:val="24"/>
                <w:szCs w:val="24"/>
                <w:lang w:val="en-ZA"/>
              </w:rPr>
              <w:t>-3.45%</w:t>
            </w:r>
          </w:p>
        </w:tc>
      </w:tr>
      <w:tr w:rsidR="004B01C2" w:rsidRPr="005E4243" w:rsidTr="00463C6E">
        <w:trPr>
          <w:cnfStyle w:val="000000100000" w:firstRow="0" w:lastRow="0" w:firstColumn="0" w:lastColumn="0" w:oddVBand="0" w:evenVBand="0" w:oddHBand="1" w:evenHBand="0" w:firstRowFirstColumn="0" w:firstRowLastColumn="0" w:lastRowFirstColumn="0" w:lastRowLastColumn="0"/>
        </w:trPr>
        <w:tc>
          <w:tcPr>
            <w:tcW w:w="2764" w:type="dxa"/>
            <w:shd w:val="clear" w:color="auto" w:fill="auto"/>
          </w:tcPr>
          <w:p w:rsidR="004B01C2" w:rsidRPr="005E4243" w:rsidRDefault="004B01C2" w:rsidP="00846A41">
            <w:pPr>
              <w:spacing w:line="276" w:lineRule="auto"/>
              <w:jc w:val="both"/>
              <w:rPr>
                <w:sz w:val="24"/>
                <w:szCs w:val="24"/>
                <w:lang w:val="en-ZA"/>
              </w:rPr>
            </w:pPr>
          </w:p>
        </w:tc>
        <w:tc>
          <w:tcPr>
            <w:tcW w:w="823"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1990</w:t>
            </w:r>
          </w:p>
        </w:tc>
        <w:tc>
          <w:tcPr>
            <w:tcW w:w="716"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55</w:t>
            </w:r>
          </w:p>
        </w:tc>
        <w:tc>
          <w:tcPr>
            <w:tcW w:w="1126" w:type="dxa"/>
            <w:shd w:val="clear" w:color="auto" w:fill="auto"/>
          </w:tcPr>
          <w:p w:rsidR="004B01C2" w:rsidRPr="005E4243" w:rsidRDefault="00A50BAC" w:rsidP="00846A41">
            <w:pPr>
              <w:spacing w:line="276" w:lineRule="auto"/>
              <w:jc w:val="both"/>
              <w:rPr>
                <w:sz w:val="24"/>
                <w:szCs w:val="24"/>
                <w:lang w:val="en-ZA"/>
              </w:rPr>
            </w:pPr>
            <w:r w:rsidRPr="005E4243">
              <w:rPr>
                <w:sz w:val="24"/>
                <w:szCs w:val="24"/>
                <w:lang w:val="en-ZA"/>
              </w:rPr>
              <w:t>0.04448</w:t>
            </w:r>
          </w:p>
        </w:tc>
        <w:tc>
          <w:tcPr>
            <w:tcW w:w="3114" w:type="dxa"/>
            <w:shd w:val="clear" w:color="auto" w:fill="auto"/>
          </w:tcPr>
          <w:p w:rsidR="004B01C2" w:rsidRPr="005E4243" w:rsidRDefault="004B01C2" w:rsidP="00846A41">
            <w:pPr>
              <w:spacing w:line="276" w:lineRule="auto"/>
              <w:jc w:val="both"/>
              <w:rPr>
                <w:sz w:val="24"/>
                <w:szCs w:val="24"/>
                <w:lang w:val="en-ZA"/>
              </w:rPr>
            </w:pPr>
          </w:p>
        </w:tc>
      </w:tr>
      <w:tr w:rsidR="004B01C2" w:rsidRPr="005E4243" w:rsidTr="00463C6E">
        <w:tc>
          <w:tcPr>
            <w:tcW w:w="2764" w:type="dxa"/>
            <w:shd w:val="clear" w:color="auto" w:fill="auto"/>
          </w:tcPr>
          <w:p w:rsidR="004B01C2" w:rsidRPr="005E4243" w:rsidRDefault="004B01C2" w:rsidP="00846A41">
            <w:pPr>
              <w:spacing w:line="276" w:lineRule="auto"/>
              <w:jc w:val="both"/>
              <w:rPr>
                <w:sz w:val="24"/>
                <w:szCs w:val="24"/>
                <w:lang w:val="en-ZA"/>
              </w:rPr>
            </w:pPr>
          </w:p>
        </w:tc>
        <w:tc>
          <w:tcPr>
            <w:tcW w:w="823"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2008</w:t>
            </w:r>
          </w:p>
        </w:tc>
        <w:tc>
          <w:tcPr>
            <w:tcW w:w="716"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55</w:t>
            </w:r>
          </w:p>
        </w:tc>
        <w:tc>
          <w:tcPr>
            <w:tcW w:w="1126" w:type="dxa"/>
            <w:shd w:val="clear" w:color="auto" w:fill="auto"/>
          </w:tcPr>
          <w:p w:rsidR="004B01C2" w:rsidRPr="005E4243" w:rsidRDefault="00A50BAC" w:rsidP="00846A41">
            <w:pPr>
              <w:spacing w:line="276" w:lineRule="auto"/>
              <w:jc w:val="both"/>
              <w:rPr>
                <w:sz w:val="24"/>
                <w:szCs w:val="24"/>
                <w:lang w:val="en-ZA"/>
              </w:rPr>
            </w:pPr>
            <w:r w:rsidRPr="005E4243">
              <w:rPr>
                <w:sz w:val="24"/>
                <w:szCs w:val="24"/>
                <w:lang w:val="en-ZA"/>
              </w:rPr>
              <w:t>0.02968</w:t>
            </w:r>
          </w:p>
        </w:tc>
        <w:tc>
          <w:tcPr>
            <w:tcW w:w="3114" w:type="dxa"/>
            <w:shd w:val="clear" w:color="auto" w:fill="auto"/>
          </w:tcPr>
          <w:p w:rsidR="004B01C2" w:rsidRPr="005E4243" w:rsidRDefault="007B5778" w:rsidP="00846A41">
            <w:pPr>
              <w:spacing w:line="276" w:lineRule="auto"/>
              <w:jc w:val="both"/>
              <w:rPr>
                <w:sz w:val="24"/>
                <w:szCs w:val="24"/>
                <w:lang w:val="en-ZA"/>
              </w:rPr>
            </w:pPr>
            <w:r w:rsidRPr="005E4243">
              <w:rPr>
                <w:sz w:val="24"/>
                <w:szCs w:val="24"/>
                <w:lang w:val="en-ZA"/>
              </w:rPr>
              <w:t>-2.27%</w:t>
            </w:r>
          </w:p>
        </w:tc>
      </w:tr>
      <w:tr w:rsidR="004B01C2" w:rsidRPr="005E4243" w:rsidTr="00463C6E">
        <w:trPr>
          <w:cnfStyle w:val="000000100000" w:firstRow="0" w:lastRow="0" w:firstColumn="0" w:lastColumn="0" w:oddVBand="0" w:evenVBand="0" w:oddHBand="1" w:evenHBand="0" w:firstRowFirstColumn="0" w:firstRowLastColumn="0" w:lastRowFirstColumn="0" w:lastRowLastColumn="0"/>
        </w:trPr>
        <w:tc>
          <w:tcPr>
            <w:tcW w:w="2764"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South Africa</w:t>
            </w:r>
          </w:p>
        </w:tc>
        <w:tc>
          <w:tcPr>
            <w:tcW w:w="823"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1990</w:t>
            </w:r>
          </w:p>
        </w:tc>
        <w:tc>
          <w:tcPr>
            <w:tcW w:w="71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25</w:t>
            </w:r>
          </w:p>
        </w:tc>
        <w:tc>
          <w:tcPr>
            <w:tcW w:w="1126" w:type="dxa"/>
            <w:shd w:val="clear" w:color="auto" w:fill="BFBFBF" w:themeFill="background1" w:themeFillShade="BF"/>
          </w:tcPr>
          <w:p w:rsidR="004B01C2" w:rsidRPr="005E4243" w:rsidRDefault="00A50BAC" w:rsidP="00846A41">
            <w:pPr>
              <w:spacing w:line="276" w:lineRule="auto"/>
              <w:jc w:val="both"/>
              <w:rPr>
                <w:sz w:val="24"/>
                <w:szCs w:val="24"/>
                <w:lang w:val="en-ZA"/>
              </w:rPr>
            </w:pPr>
            <w:r w:rsidRPr="005E4243">
              <w:rPr>
                <w:sz w:val="24"/>
                <w:szCs w:val="24"/>
                <w:lang w:val="en-ZA"/>
              </w:rPr>
              <w:t>0.01746</w:t>
            </w:r>
          </w:p>
        </w:tc>
        <w:tc>
          <w:tcPr>
            <w:tcW w:w="311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r>
      <w:tr w:rsidR="004B01C2" w:rsidRPr="005E4243" w:rsidTr="00463C6E">
        <w:tc>
          <w:tcPr>
            <w:tcW w:w="276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c>
          <w:tcPr>
            <w:tcW w:w="823"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2008</w:t>
            </w:r>
          </w:p>
        </w:tc>
        <w:tc>
          <w:tcPr>
            <w:tcW w:w="71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25</w:t>
            </w:r>
          </w:p>
        </w:tc>
        <w:tc>
          <w:tcPr>
            <w:tcW w:w="1126" w:type="dxa"/>
            <w:shd w:val="clear" w:color="auto" w:fill="BFBFBF" w:themeFill="background1" w:themeFillShade="BF"/>
          </w:tcPr>
          <w:p w:rsidR="004B01C2" w:rsidRPr="005E4243" w:rsidRDefault="00A50BAC" w:rsidP="00846A41">
            <w:pPr>
              <w:spacing w:line="276" w:lineRule="auto"/>
              <w:jc w:val="both"/>
              <w:rPr>
                <w:sz w:val="24"/>
                <w:szCs w:val="24"/>
                <w:lang w:val="en-ZA"/>
              </w:rPr>
            </w:pPr>
            <w:r w:rsidRPr="005E4243">
              <w:rPr>
                <w:sz w:val="24"/>
                <w:szCs w:val="24"/>
                <w:lang w:val="en-ZA"/>
              </w:rPr>
              <w:t>0.05516</w:t>
            </w:r>
          </w:p>
        </w:tc>
        <w:tc>
          <w:tcPr>
            <w:tcW w:w="3114" w:type="dxa"/>
            <w:shd w:val="clear" w:color="auto" w:fill="BFBFBF" w:themeFill="background1" w:themeFillShade="BF"/>
          </w:tcPr>
          <w:p w:rsidR="004B01C2" w:rsidRPr="005E4243" w:rsidRDefault="007B5778" w:rsidP="00846A41">
            <w:pPr>
              <w:spacing w:line="276" w:lineRule="auto"/>
              <w:jc w:val="both"/>
              <w:rPr>
                <w:sz w:val="24"/>
                <w:szCs w:val="24"/>
                <w:lang w:val="en-ZA"/>
              </w:rPr>
            </w:pPr>
            <w:r w:rsidRPr="005E4243">
              <w:rPr>
                <w:sz w:val="24"/>
                <w:szCs w:val="24"/>
                <w:lang w:val="en-ZA"/>
              </w:rPr>
              <w:t>6.19%</w:t>
            </w:r>
          </w:p>
        </w:tc>
      </w:tr>
      <w:tr w:rsidR="004B01C2" w:rsidRPr="005E4243" w:rsidTr="00463C6E">
        <w:trPr>
          <w:cnfStyle w:val="000000100000" w:firstRow="0" w:lastRow="0" w:firstColumn="0" w:lastColumn="0" w:oddVBand="0" w:evenVBand="0" w:oddHBand="1" w:evenHBand="0" w:firstRowFirstColumn="0" w:firstRowLastColumn="0" w:lastRowFirstColumn="0" w:lastRowLastColumn="0"/>
        </w:trPr>
        <w:tc>
          <w:tcPr>
            <w:tcW w:w="276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c>
          <w:tcPr>
            <w:tcW w:w="823"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1990</w:t>
            </w:r>
          </w:p>
        </w:tc>
        <w:tc>
          <w:tcPr>
            <w:tcW w:w="71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55</w:t>
            </w:r>
          </w:p>
        </w:tc>
        <w:tc>
          <w:tcPr>
            <w:tcW w:w="1126" w:type="dxa"/>
            <w:shd w:val="clear" w:color="auto" w:fill="BFBFBF" w:themeFill="background1" w:themeFillShade="BF"/>
          </w:tcPr>
          <w:p w:rsidR="004B01C2" w:rsidRPr="005E4243" w:rsidRDefault="00A50BAC" w:rsidP="00846A41">
            <w:pPr>
              <w:spacing w:line="276" w:lineRule="auto"/>
              <w:jc w:val="both"/>
              <w:rPr>
                <w:sz w:val="24"/>
                <w:szCs w:val="24"/>
                <w:lang w:val="en-ZA"/>
              </w:rPr>
            </w:pPr>
            <w:r w:rsidRPr="005E4243">
              <w:rPr>
                <w:sz w:val="24"/>
                <w:szCs w:val="24"/>
                <w:lang w:val="en-ZA"/>
              </w:rPr>
              <w:t>0.08081</w:t>
            </w:r>
          </w:p>
        </w:tc>
        <w:tc>
          <w:tcPr>
            <w:tcW w:w="311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r>
      <w:tr w:rsidR="004B01C2" w:rsidRPr="005E4243" w:rsidTr="00463C6E">
        <w:tc>
          <w:tcPr>
            <w:tcW w:w="276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c>
          <w:tcPr>
            <w:tcW w:w="823"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2008</w:t>
            </w:r>
          </w:p>
        </w:tc>
        <w:tc>
          <w:tcPr>
            <w:tcW w:w="71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55</w:t>
            </w:r>
          </w:p>
        </w:tc>
        <w:tc>
          <w:tcPr>
            <w:tcW w:w="1126" w:type="dxa"/>
            <w:shd w:val="clear" w:color="auto" w:fill="BFBFBF" w:themeFill="background1" w:themeFillShade="BF"/>
          </w:tcPr>
          <w:p w:rsidR="004B01C2" w:rsidRPr="005E4243" w:rsidRDefault="00A50BAC" w:rsidP="00846A41">
            <w:pPr>
              <w:spacing w:line="276" w:lineRule="auto"/>
              <w:jc w:val="both"/>
              <w:rPr>
                <w:sz w:val="24"/>
                <w:szCs w:val="24"/>
                <w:lang w:val="en-ZA"/>
              </w:rPr>
            </w:pPr>
            <w:r w:rsidRPr="005E4243">
              <w:rPr>
                <w:sz w:val="24"/>
                <w:szCs w:val="24"/>
                <w:lang w:val="en-ZA"/>
              </w:rPr>
              <w:t>0.12480</w:t>
            </w:r>
          </w:p>
        </w:tc>
        <w:tc>
          <w:tcPr>
            <w:tcW w:w="3114" w:type="dxa"/>
            <w:shd w:val="clear" w:color="auto" w:fill="BFBFBF" w:themeFill="background1" w:themeFillShade="BF"/>
          </w:tcPr>
          <w:p w:rsidR="004B01C2" w:rsidRPr="005E4243" w:rsidRDefault="007B5778" w:rsidP="00846A41">
            <w:pPr>
              <w:spacing w:line="276" w:lineRule="auto"/>
              <w:jc w:val="both"/>
              <w:rPr>
                <w:sz w:val="24"/>
                <w:szCs w:val="24"/>
                <w:lang w:val="en-ZA"/>
              </w:rPr>
            </w:pPr>
            <w:r w:rsidRPr="005E4243">
              <w:rPr>
                <w:sz w:val="24"/>
                <w:szCs w:val="24"/>
                <w:lang w:val="en-ZA"/>
              </w:rPr>
              <w:t>2.39%</w:t>
            </w:r>
          </w:p>
        </w:tc>
      </w:tr>
      <w:tr w:rsidR="004B01C2" w:rsidRPr="005E4243" w:rsidTr="00463C6E">
        <w:trPr>
          <w:cnfStyle w:val="000000100000" w:firstRow="0" w:lastRow="0" w:firstColumn="0" w:lastColumn="0" w:oddVBand="0" w:evenVBand="0" w:oddHBand="1" w:evenHBand="0" w:firstRowFirstColumn="0" w:firstRowLastColumn="0" w:lastRowFirstColumn="0" w:lastRowLastColumn="0"/>
        </w:trPr>
        <w:tc>
          <w:tcPr>
            <w:tcW w:w="2764"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United Kingdom</w:t>
            </w:r>
          </w:p>
        </w:tc>
        <w:tc>
          <w:tcPr>
            <w:tcW w:w="823"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1990</w:t>
            </w:r>
          </w:p>
        </w:tc>
        <w:tc>
          <w:tcPr>
            <w:tcW w:w="716"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25</w:t>
            </w:r>
          </w:p>
        </w:tc>
        <w:tc>
          <w:tcPr>
            <w:tcW w:w="1126" w:type="dxa"/>
            <w:shd w:val="clear" w:color="auto" w:fill="auto"/>
          </w:tcPr>
          <w:p w:rsidR="004B01C2" w:rsidRPr="005E4243" w:rsidRDefault="00A50BAC" w:rsidP="00846A41">
            <w:pPr>
              <w:spacing w:line="276" w:lineRule="auto"/>
              <w:jc w:val="both"/>
              <w:rPr>
                <w:sz w:val="24"/>
                <w:szCs w:val="24"/>
                <w:lang w:val="en-ZA"/>
              </w:rPr>
            </w:pPr>
            <w:r w:rsidRPr="005E4243">
              <w:rPr>
                <w:sz w:val="24"/>
                <w:szCs w:val="24"/>
                <w:lang w:val="en-ZA"/>
              </w:rPr>
              <w:t>0.00339</w:t>
            </w:r>
          </w:p>
        </w:tc>
        <w:tc>
          <w:tcPr>
            <w:tcW w:w="3114" w:type="dxa"/>
            <w:shd w:val="clear" w:color="auto" w:fill="auto"/>
          </w:tcPr>
          <w:p w:rsidR="004B01C2" w:rsidRPr="005E4243" w:rsidRDefault="004B01C2" w:rsidP="00846A41">
            <w:pPr>
              <w:spacing w:line="276" w:lineRule="auto"/>
              <w:jc w:val="both"/>
              <w:rPr>
                <w:sz w:val="24"/>
                <w:szCs w:val="24"/>
                <w:lang w:val="en-ZA"/>
              </w:rPr>
            </w:pPr>
          </w:p>
        </w:tc>
      </w:tr>
      <w:tr w:rsidR="004B01C2" w:rsidRPr="005E4243" w:rsidTr="00463C6E">
        <w:tc>
          <w:tcPr>
            <w:tcW w:w="2764" w:type="dxa"/>
            <w:shd w:val="clear" w:color="auto" w:fill="auto"/>
          </w:tcPr>
          <w:p w:rsidR="004B01C2" w:rsidRPr="005E4243" w:rsidRDefault="004B01C2" w:rsidP="00846A41">
            <w:pPr>
              <w:spacing w:line="276" w:lineRule="auto"/>
              <w:jc w:val="both"/>
              <w:rPr>
                <w:sz w:val="24"/>
                <w:szCs w:val="24"/>
                <w:lang w:val="en-ZA"/>
              </w:rPr>
            </w:pPr>
          </w:p>
        </w:tc>
        <w:tc>
          <w:tcPr>
            <w:tcW w:w="823"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2008</w:t>
            </w:r>
          </w:p>
        </w:tc>
        <w:tc>
          <w:tcPr>
            <w:tcW w:w="716"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25</w:t>
            </w:r>
          </w:p>
        </w:tc>
        <w:tc>
          <w:tcPr>
            <w:tcW w:w="1126" w:type="dxa"/>
            <w:shd w:val="clear" w:color="auto" w:fill="auto"/>
          </w:tcPr>
          <w:p w:rsidR="004B01C2" w:rsidRPr="005E4243" w:rsidRDefault="00A50BAC" w:rsidP="00846A41">
            <w:pPr>
              <w:spacing w:line="276" w:lineRule="auto"/>
              <w:jc w:val="both"/>
              <w:rPr>
                <w:sz w:val="24"/>
                <w:szCs w:val="24"/>
                <w:lang w:val="en-ZA"/>
              </w:rPr>
            </w:pPr>
            <w:r w:rsidRPr="005E4243">
              <w:rPr>
                <w:sz w:val="24"/>
                <w:szCs w:val="24"/>
                <w:lang w:val="en-ZA"/>
              </w:rPr>
              <w:t>0.00273</w:t>
            </w:r>
          </w:p>
        </w:tc>
        <w:tc>
          <w:tcPr>
            <w:tcW w:w="3114" w:type="dxa"/>
            <w:shd w:val="clear" w:color="auto" w:fill="auto"/>
          </w:tcPr>
          <w:p w:rsidR="004B01C2" w:rsidRPr="005E4243" w:rsidRDefault="007B5778" w:rsidP="00846A41">
            <w:pPr>
              <w:spacing w:line="276" w:lineRule="auto"/>
              <w:jc w:val="both"/>
              <w:rPr>
                <w:sz w:val="24"/>
                <w:szCs w:val="24"/>
                <w:lang w:val="en-ZA"/>
              </w:rPr>
            </w:pPr>
            <w:r w:rsidRPr="005E4243">
              <w:rPr>
                <w:sz w:val="24"/>
                <w:szCs w:val="24"/>
                <w:lang w:val="en-ZA"/>
              </w:rPr>
              <w:t>-1.21%</w:t>
            </w:r>
          </w:p>
        </w:tc>
      </w:tr>
      <w:tr w:rsidR="004B01C2" w:rsidRPr="005E4243" w:rsidTr="00463C6E">
        <w:trPr>
          <w:cnfStyle w:val="000000100000" w:firstRow="0" w:lastRow="0" w:firstColumn="0" w:lastColumn="0" w:oddVBand="0" w:evenVBand="0" w:oddHBand="1" w:evenHBand="0" w:firstRowFirstColumn="0" w:firstRowLastColumn="0" w:lastRowFirstColumn="0" w:lastRowLastColumn="0"/>
        </w:trPr>
        <w:tc>
          <w:tcPr>
            <w:tcW w:w="2764" w:type="dxa"/>
            <w:shd w:val="clear" w:color="auto" w:fill="auto"/>
          </w:tcPr>
          <w:p w:rsidR="004B01C2" w:rsidRPr="005E4243" w:rsidRDefault="004B01C2" w:rsidP="00846A41">
            <w:pPr>
              <w:spacing w:line="276" w:lineRule="auto"/>
              <w:jc w:val="both"/>
              <w:rPr>
                <w:sz w:val="24"/>
                <w:szCs w:val="24"/>
                <w:lang w:val="en-ZA"/>
              </w:rPr>
            </w:pPr>
          </w:p>
        </w:tc>
        <w:tc>
          <w:tcPr>
            <w:tcW w:w="823"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1990</w:t>
            </w:r>
          </w:p>
        </w:tc>
        <w:tc>
          <w:tcPr>
            <w:tcW w:w="716"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55</w:t>
            </w:r>
          </w:p>
        </w:tc>
        <w:tc>
          <w:tcPr>
            <w:tcW w:w="1126" w:type="dxa"/>
            <w:shd w:val="clear" w:color="auto" w:fill="auto"/>
          </w:tcPr>
          <w:p w:rsidR="004B01C2" w:rsidRPr="005E4243" w:rsidRDefault="00A50BAC" w:rsidP="00846A41">
            <w:pPr>
              <w:spacing w:line="276" w:lineRule="auto"/>
              <w:jc w:val="both"/>
              <w:rPr>
                <w:sz w:val="24"/>
                <w:szCs w:val="24"/>
                <w:lang w:val="en-ZA"/>
              </w:rPr>
            </w:pPr>
            <w:r w:rsidRPr="005E4243">
              <w:rPr>
                <w:sz w:val="24"/>
                <w:szCs w:val="24"/>
                <w:lang w:val="en-ZA"/>
              </w:rPr>
              <w:t>0.04197</w:t>
            </w:r>
          </w:p>
        </w:tc>
        <w:tc>
          <w:tcPr>
            <w:tcW w:w="3114" w:type="dxa"/>
            <w:shd w:val="clear" w:color="auto" w:fill="auto"/>
          </w:tcPr>
          <w:p w:rsidR="004B01C2" w:rsidRPr="005E4243" w:rsidRDefault="004B01C2" w:rsidP="00846A41">
            <w:pPr>
              <w:spacing w:line="276" w:lineRule="auto"/>
              <w:jc w:val="both"/>
              <w:rPr>
                <w:sz w:val="24"/>
                <w:szCs w:val="24"/>
                <w:lang w:val="en-ZA"/>
              </w:rPr>
            </w:pPr>
          </w:p>
        </w:tc>
      </w:tr>
      <w:tr w:rsidR="004B01C2" w:rsidRPr="005E4243" w:rsidTr="00463C6E">
        <w:tc>
          <w:tcPr>
            <w:tcW w:w="2764" w:type="dxa"/>
            <w:shd w:val="clear" w:color="auto" w:fill="auto"/>
          </w:tcPr>
          <w:p w:rsidR="004B01C2" w:rsidRPr="005E4243" w:rsidRDefault="004B01C2" w:rsidP="00846A41">
            <w:pPr>
              <w:spacing w:line="276" w:lineRule="auto"/>
              <w:jc w:val="both"/>
              <w:rPr>
                <w:sz w:val="24"/>
                <w:szCs w:val="24"/>
                <w:lang w:val="en-ZA"/>
              </w:rPr>
            </w:pPr>
          </w:p>
        </w:tc>
        <w:tc>
          <w:tcPr>
            <w:tcW w:w="823"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2008</w:t>
            </w:r>
          </w:p>
        </w:tc>
        <w:tc>
          <w:tcPr>
            <w:tcW w:w="716" w:type="dxa"/>
            <w:shd w:val="clear" w:color="auto" w:fill="auto"/>
          </w:tcPr>
          <w:p w:rsidR="004B01C2" w:rsidRPr="005E4243" w:rsidRDefault="004B01C2" w:rsidP="00846A41">
            <w:pPr>
              <w:spacing w:line="276" w:lineRule="auto"/>
              <w:jc w:val="both"/>
              <w:rPr>
                <w:sz w:val="24"/>
                <w:szCs w:val="24"/>
                <w:lang w:val="en-ZA"/>
              </w:rPr>
            </w:pPr>
            <w:r w:rsidRPr="005E4243">
              <w:rPr>
                <w:sz w:val="24"/>
                <w:szCs w:val="24"/>
                <w:lang w:val="en-ZA"/>
              </w:rPr>
              <w:t>55</w:t>
            </w:r>
          </w:p>
        </w:tc>
        <w:tc>
          <w:tcPr>
            <w:tcW w:w="1126" w:type="dxa"/>
            <w:shd w:val="clear" w:color="auto" w:fill="auto"/>
          </w:tcPr>
          <w:p w:rsidR="004B01C2" w:rsidRPr="005E4243" w:rsidRDefault="00A50BAC" w:rsidP="00846A41">
            <w:pPr>
              <w:spacing w:line="276" w:lineRule="auto"/>
              <w:jc w:val="both"/>
              <w:rPr>
                <w:sz w:val="24"/>
                <w:szCs w:val="24"/>
                <w:lang w:val="en-ZA"/>
              </w:rPr>
            </w:pPr>
            <w:r w:rsidRPr="005E4243">
              <w:rPr>
                <w:sz w:val="24"/>
                <w:szCs w:val="24"/>
                <w:lang w:val="en-ZA"/>
              </w:rPr>
              <w:t>0.02790</w:t>
            </w:r>
          </w:p>
        </w:tc>
        <w:tc>
          <w:tcPr>
            <w:tcW w:w="3114" w:type="dxa"/>
            <w:shd w:val="clear" w:color="auto" w:fill="auto"/>
          </w:tcPr>
          <w:p w:rsidR="004B01C2" w:rsidRPr="005E4243" w:rsidRDefault="007B5778" w:rsidP="00846A41">
            <w:pPr>
              <w:spacing w:line="276" w:lineRule="auto"/>
              <w:jc w:val="both"/>
              <w:rPr>
                <w:sz w:val="24"/>
                <w:szCs w:val="24"/>
                <w:lang w:val="en-ZA"/>
              </w:rPr>
            </w:pPr>
            <w:r w:rsidRPr="005E4243">
              <w:rPr>
                <w:sz w:val="24"/>
                <w:szCs w:val="24"/>
                <w:lang w:val="en-ZA"/>
              </w:rPr>
              <w:t>-2.29%</w:t>
            </w:r>
          </w:p>
        </w:tc>
      </w:tr>
      <w:tr w:rsidR="00463C6E" w:rsidRPr="005E4243" w:rsidTr="00463C6E">
        <w:trPr>
          <w:cnfStyle w:val="000000100000" w:firstRow="0" w:lastRow="0" w:firstColumn="0" w:lastColumn="0" w:oddVBand="0" w:evenVBand="0" w:oddHBand="1" w:evenHBand="0" w:firstRowFirstColumn="0" w:firstRowLastColumn="0" w:lastRowFirstColumn="0" w:lastRowLastColumn="0"/>
        </w:trPr>
        <w:tc>
          <w:tcPr>
            <w:tcW w:w="2764"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United States of America</w:t>
            </w:r>
          </w:p>
        </w:tc>
        <w:tc>
          <w:tcPr>
            <w:tcW w:w="823"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1990</w:t>
            </w:r>
          </w:p>
        </w:tc>
        <w:tc>
          <w:tcPr>
            <w:tcW w:w="71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25</w:t>
            </w:r>
          </w:p>
        </w:tc>
        <w:tc>
          <w:tcPr>
            <w:tcW w:w="1126" w:type="dxa"/>
            <w:shd w:val="clear" w:color="auto" w:fill="BFBFBF" w:themeFill="background1" w:themeFillShade="BF"/>
          </w:tcPr>
          <w:p w:rsidR="004B01C2" w:rsidRPr="005E4243" w:rsidRDefault="00A50BAC" w:rsidP="00846A41">
            <w:pPr>
              <w:spacing w:line="276" w:lineRule="auto"/>
              <w:jc w:val="both"/>
              <w:rPr>
                <w:sz w:val="24"/>
                <w:szCs w:val="24"/>
                <w:lang w:val="en-ZA"/>
              </w:rPr>
            </w:pPr>
            <w:r w:rsidRPr="005E4243">
              <w:rPr>
                <w:sz w:val="24"/>
                <w:szCs w:val="24"/>
                <w:lang w:val="en-ZA"/>
              </w:rPr>
              <w:t>0.00623</w:t>
            </w:r>
          </w:p>
        </w:tc>
        <w:tc>
          <w:tcPr>
            <w:tcW w:w="311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r>
      <w:tr w:rsidR="00463C6E" w:rsidRPr="005E4243" w:rsidTr="00463C6E">
        <w:tc>
          <w:tcPr>
            <w:tcW w:w="276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c>
          <w:tcPr>
            <w:tcW w:w="823"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2008</w:t>
            </w:r>
          </w:p>
        </w:tc>
        <w:tc>
          <w:tcPr>
            <w:tcW w:w="71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25</w:t>
            </w:r>
          </w:p>
        </w:tc>
        <w:tc>
          <w:tcPr>
            <w:tcW w:w="1126" w:type="dxa"/>
            <w:shd w:val="clear" w:color="auto" w:fill="BFBFBF" w:themeFill="background1" w:themeFillShade="BF"/>
          </w:tcPr>
          <w:p w:rsidR="004B01C2" w:rsidRPr="005E4243" w:rsidRDefault="00A50BAC" w:rsidP="00846A41">
            <w:pPr>
              <w:spacing w:line="276" w:lineRule="auto"/>
              <w:jc w:val="both"/>
              <w:rPr>
                <w:sz w:val="24"/>
                <w:szCs w:val="24"/>
                <w:lang w:val="en-ZA"/>
              </w:rPr>
            </w:pPr>
            <w:r w:rsidRPr="005E4243">
              <w:rPr>
                <w:sz w:val="24"/>
                <w:szCs w:val="24"/>
                <w:lang w:val="en-ZA"/>
              </w:rPr>
              <w:t>0.00491</w:t>
            </w:r>
          </w:p>
        </w:tc>
        <w:tc>
          <w:tcPr>
            <w:tcW w:w="3114" w:type="dxa"/>
            <w:shd w:val="clear" w:color="auto" w:fill="BFBFBF" w:themeFill="background1" w:themeFillShade="BF"/>
          </w:tcPr>
          <w:p w:rsidR="004B01C2" w:rsidRPr="005E4243" w:rsidRDefault="007B5778" w:rsidP="00846A41">
            <w:pPr>
              <w:spacing w:line="276" w:lineRule="auto"/>
              <w:jc w:val="both"/>
              <w:rPr>
                <w:sz w:val="24"/>
                <w:szCs w:val="24"/>
                <w:lang w:val="en-ZA"/>
              </w:rPr>
            </w:pPr>
            <w:r w:rsidRPr="005E4243">
              <w:rPr>
                <w:sz w:val="24"/>
                <w:szCs w:val="24"/>
                <w:lang w:val="en-ZA"/>
              </w:rPr>
              <w:t>-1.33%</w:t>
            </w:r>
          </w:p>
        </w:tc>
      </w:tr>
      <w:tr w:rsidR="004B01C2" w:rsidRPr="005E4243" w:rsidTr="00463C6E">
        <w:trPr>
          <w:cnfStyle w:val="000000100000" w:firstRow="0" w:lastRow="0" w:firstColumn="0" w:lastColumn="0" w:oddVBand="0" w:evenVBand="0" w:oddHBand="1" w:evenHBand="0" w:firstRowFirstColumn="0" w:firstRowLastColumn="0" w:lastRowFirstColumn="0" w:lastRowLastColumn="0"/>
        </w:trPr>
        <w:tc>
          <w:tcPr>
            <w:tcW w:w="276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c>
          <w:tcPr>
            <w:tcW w:w="823"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1990</w:t>
            </w:r>
          </w:p>
        </w:tc>
        <w:tc>
          <w:tcPr>
            <w:tcW w:w="71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55</w:t>
            </w:r>
          </w:p>
        </w:tc>
        <w:tc>
          <w:tcPr>
            <w:tcW w:w="1126" w:type="dxa"/>
            <w:shd w:val="clear" w:color="auto" w:fill="BFBFBF" w:themeFill="background1" w:themeFillShade="BF"/>
          </w:tcPr>
          <w:p w:rsidR="004B01C2" w:rsidRPr="005E4243" w:rsidRDefault="00A50BAC" w:rsidP="00846A41">
            <w:pPr>
              <w:spacing w:line="276" w:lineRule="auto"/>
              <w:jc w:val="both"/>
              <w:rPr>
                <w:sz w:val="24"/>
                <w:szCs w:val="24"/>
                <w:lang w:val="en-ZA"/>
              </w:rPr>
            </w:pPr>
            <w:r w:rsidRPr="005E4243">
              <w:rPr>
                <w:sz w:val="24"/>
                <w:szCs w:val="24"/>
                <w:lang w:val="en-ZA"/>
              </w:rPr>
              <w:t>0.04577</w:t>
            </w:r>
          </w:p>
        </w:tc>
        <w:tc>
          <w:tcPr>
            <w:tcW w:w="311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r>
      <w:tr w:rsidR="004B01C2" w:rsidRPr="005E4243" w:rsidTr="00463C6E">
        <w:tc>
          <w:tcPr>
            <w:tcW w:w="2764" w:type="dxa"/>
            <w:shd w:val="clear" w:color="auto" w:fill="BFBFBF" w:themeFill="background1" w:themeFillShade="BF"/>
          </w:tcPr>
          <w:p w:rsidR="004B01C2" w:rsidRPr="005E4243" w:rsidRDefault="004B01C2" w:rsidP="00846A41">
            <w:pPr>
              <w:spacing w:line="276" w:lineRule="auto"/>
              <w:jc w:val="both"/>
              <w:rPr>
                <w:sz w:val="24"/>
                <w:szCs w:val="24"/>
                <w:lang w:val="en-ZA"/>
              </w:rPr>
            </w:pPr>
          </w:p>
        </w:tc>
        <w:tc>
          <w:tcPr>
            <w:tcW w:w="823"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2008</w:t>
            </w:r>
          </w:p>
        </w:tc>
        <w:tc>
          <w:tcPr>
            <w:tcW w:w="716" w:type="dxa"/>
            <w:shd w:val="clear" w:color="auto" w:fill="BFBFBF" w:themeFill="background1" w:themeFillShade="BF"/>
          </w:tcPr>
          <w:p w:rsidR="004B01C2" w:rsidRPr="005E4243" w:rsidRDefault="004B01C2" w:rsidP="00846A41">
            <w:pPr>
              <w:spacing w:line="276" w:lineRule="auto"/>
              <w:jc w:val="both"/>
              <w:rPr>
                <w:sz w:val="24"/>
                <w:szCs w:val="24"/>
                <w:lang w:val="en-ZA"/>
              </w:rPr>
            </w:pPr>
            <w:r w:rsidRPr="005E4243">
              <w:rPr>
                <w:sz w:val="24"/>
                <w:szCs w:val="24"/>
                <w:lang w:val="en-ZA"/>
              </w:rPr>
              <w:t>55</w:t>
            </w:r>
          </w:p>
        </w:tc>
        <w:tc>
          <w:tcPr>
            <w:tcW w:w="1126" w:type="dxa"/>
            <w:shd w:val="clear" w:color="auto" w:fill="BFBFBF" w:themeFill="background1" w:themeFillShade="BF"/>
          </w:tcPr>
          <w:p w:rsidR="004B01C2" w:rsidRPr="005E4243" w:rsidRDefault="00A50BAC" w:rsidP="00846A41">
            <w:pPr>
              <w:spacing w:line="276" w:lineRule="auto"/>
              <w:jc w:val="both"/>
              <w:rPr>
                <w:sz w:val="24"/>
                <w:szCs w:val="24"/>
                <w:lang w:val="en-ZA"/>
              </w:rPr>
            </w:pPr>
            <w:r w:rsidRPr="005E4243">
              <w:rPr>
                <w:sz w:val="24"/>
                <w:szCs w:val="24"/>
                <w:lang w:val="en-ZA"/>
              </w:rPr>
              <w:t>0.03473</w:t>
            </w:r>
          </w:p>
        </w:tc>
        <w:tc>
          <w:tcPr>
            <w:tcW w:w="3114" w:type="dxa"/>
            <w:shd w:val="clear" w:color="auto" w:fill="BFBFBF" w:themeFill="background1" w:themeFillShade="BF"/>
          </w:tcPr>
          <w:p w:rsidR="004B01C2" w:rsidRPr="005E4243" w:rsidRDefault="007B5778" w:rsidP="00846A41">
            <w:pPr>
              <w:spacing w:line="276" w:lineRule="auto"/>
              <w:jc w:val="both"/>
              <w:rPr>
                <w:sz w:val="24"/>
                <w:szCs w:val="24"/>
                <w:lang w:val="en-ZA"/>
              </w:rPr>
            </w:pPr>
            <w:r w:rsidRPr="005E4243">
              <w:rPr>
                <w:sz w:val="24"/>
                <w:szCs w:val="24"/>
                <w:lang w:val="en-ZA"/>
              </w:rPr>
              <w:t>-1.55%</w:t>
            </w:r>
          </w:p>
        </w:tc>
      </w:tr>
    </w:tbl>
    <w:p w:rsidR="00806775" w:rsidRDefault="00A66564" w:rsidP="00846A41">
      <w:pPr>
        <w:spacing w:after="0" w:line="360" w:lineRule="auto"/>
        <w:jc w:val="both"/>
        <w:rPr>
          <w:sz w:val="24"/>
          <w:szCs w:val="24"/>
          <w:lang w:val="en-ZA"/>
        </w:rPr>
      </w:pPr>
      <w:r w:rsidRPr="005E4243">
        <w:rPr>
          <w:sz w:val="24"/>
          <w:szCs w:val="24"/>
          <w:lang w:val="en-ZA"/>
        </w:rPr>
        <w:t>Source: World Health Statistics 2010</w:t>
      </w:r>
    </w:p>
    <w:p w:rsidR="00B50A30" w:rsidRDefault="00B50A30" w:rsidP="00B50A30">
      <w:pPr>
        <w:ind w:right="4"/>
        <w:jc w:val="both"/>
        <w:rPr>
          <w:sz w:val="24"/>
          <w:szCs w:val="24"/>
          <w:lang w:val="en-ZA"/>
        </w:rPr>
      </w:pPr>
      <w:r>
        <w:rPr>
          <w:sz w:val="24"/>
          <w:szCs w:val="24"/>
          <w:lang w:val="en-ZA"/>
        </w:rPr>
        <w:t>Figure 1 below shows the change in life expectancy for different regions from 1950 to 2050. It can be seen that life expectancy is expected to increase rapidly over the next 40 years.</w:t>
      </w:r>
    </w:p>
    <w:p w:rsidR="00001F76" w:rsidRPr="00001F76" w:rsidRDefault="00001F76" w:rsidP="00001F76">
      <w:pPr>
        <w:pStyle w:val="Caption"/>
        <w:rPr>
          <w:sz w:val="22"/>
          <w:szCs w:val="22"/>
          <w:lang w:val="en-ZA"/>
        </w:rPr>
      </w:pPr>
      <w:r w:rsidRPr="00001F76">
        <w:rPr>
          <w:sz w:val="22"/>
          <w:szCs w:val="22"/>
        </w:rPr>
        <w:t xml:space="preserve">Figure </w:t>
      </w:r>
      <w:r w:rsidRPr="00001F76">
        <w:rPr>
          <w:sz w:val="22"/>
          <w:szCs w:val="22"/>
        </w:rPr>
        <w:fldChar w:fldCharType="begin"/>
      </w:r>
      <w:r w:rsidRPr="00001F76">
        <w:rPr>
          <w:sz w:val="22"/>
          <w:szCs w:val="22"/>
        </w:rPr>
        <w:instrText xml:space="preserve"> SEQ Figure \* ARABIC </w:instrText>
      </w:r>
      <w:r w:rsidRPr="00001F76">
        <w:rPr>
          <w:sz w:val="22"/>
          <w:szCs w:val="22"/>
        </w:rPr>
        <w:fldChar w:fldCharType="separate"/>
      </w:r>
      <w:r w:rsidR="00765D35">
        <w:rPr>
          <w:noProof/>
          <w:sz w:val="22"/>
          <w:szCs w:val="22"/>
        </w:rPr>
        <w:t>1</w:t>
      </w:r>
      <w:r w:rsidRPr="00001F76">
        <w:rPr>
          <w:sz w:val="22"/>
          <w:szCs w:val="22"/>
        </w:rPr>
        <w:fldChar w:fldCharType="end"/>
      </w:r>
      <w:r w:rsidRPr="00001F76">
        <w:rPr>
          <w:sz w:val="22"/>
          <w:szCs w:val="22"/>
        </w:rPr>
        <w:t>: Life expectancy at birth in different regions</w:t>
      </w:r>
    </w:p>
    <w:p w:rsidR="001B2A92" w:rsidRDefault="001E780C" w:rsidP="00AD44B6">
      <w:pPr>
        <w:ind w:right="1280"/>
        <w:jc w:val="both"/>
        <w:rPr>
          <w:sz w:val="24"/>
          <w:szCs w:val="24"/>
          <w:lang w:val="en-ZA"/>
        </w:rPr>
      </w:pPr>
      <w:r>
        <w:rPr>
          <w:noProof/>
          <w:sz w:val="24"/>
          <w:szCs w:val="24"/>
          <w:lang w:val="en-ZA" w:eastAsia="en-ZA"/>
        </w:rPr>
        <w:drawing>
          <wp:anchor distT="0" distB="0" distL="114300" distR="114300" simplePos="0" relativeHeight="251663360" behindDoc="0" locked="0" layoutInCell="1" allowOverlap="1" wp14:anchorId="5C7B2DED" wp14:editId="7C9DB5F6">
            <wp:simplePos x="0" y="0"/>
            <wp:positionH relativeFrom="column">
              <wp:posOffset>1232369</wp:posOffset>
            </wp:positionH>
            <wp:positionV relativeFrom="paragraph">
              <wp:posOffset>-3175</wp:posOffset>
            </wp:positionV>
            <wp:extent cx="3633746" cy="26304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b="6641"/>
                    <a:stretch>
                      <a:fillRect/>
                    </a:stretch>
                  </pic:blipFill>
                  <pic:spPr bwMode="auto">
                    <a:xfrm>
                      <a:off x="0" y="0"/>
                      <a:ext cx="3633746" cy="26304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B2A92" w:rsidRDefault="001B2A92" w:rsidP="00AD44B6">
      <w:pPr>
        <w:ind w:right="1280"/>
        <w:jc w:val="both"/>
        <w:rPr>
          <w:sz w:val="24"/>
          <w:szCs w:val="24"/>
          <w:lang w:val="en-ZA"/>
        </w:rPr>
      </w:pPr>
    </w:p>
    <w:p w:rsidR="001B2A92" w:rsidRDefault="001B2A92" w:rsidP="00AD44B6">
      <w:pPr>
        <w:ind w:right="1280"/>
        <w:jc w:val="both"/>
        <w:rPr>
          <w:sz w:val="24"/>
          <w:szCs w:val="24"/>
          <w:lang w:val="en-ZA"/>
        </w:rPr>
      </w:pPr>
    </w:p>
    <w:p w:rsidR="00391A72" w:rsidRPr="00391A72" w:rsidRDefault="00391A72" w:rsidP="00AD44B6">
      <w:pPr>
        <w:ind w:right="1280"/>
        <w:jc w:val="both"/>
        <w:rPr>
          <w:sz w:val="24"/>
          <w:szCs w:val="24"/>
          <w:lang w:val="en-ZA"/>
        </w:rPr>
      </w:pPr>
    </w:p>
    <w:p w:rsidR="001B2A92" w:rsidRDefault="001B2A92" w:rsidP="00AD44B6">
      <w:pPr>
        <w:ind w:right="1280"/>
        <w:jc w:val="both"/>
        <w:rPr>
          <w:sz w:val="24"/>
          <w:szCs w:val="24"/>
          <w:lang w:val="en-ZA"/>
        </w:rPr>
      </w:pPr>
    </w:p>
    <w:p w:rsidR="001B2A92" w:rsidRDefault="001B2A92" w:rsidP="00AD44B6">
      <w:pPr>
        <w:ind w:right="1280"/>
        <w:jc w:val="both"/>
        <w:rPr>
          <w:sz w:val="24"/>
          <w:szCs w:val="24"/>
          <w:lang w:val="en-ZA"/>
        </w:rPr>
      </w:pPr>
    </w:p>
    <w:p w:rsidR="001B2A92" w:rsidRDefault="001B2A92" w:rsidP="00AD44B6">
      <w:pPr>
        <w:ind w:right="1280"/>
        <w:jc w:val="both"/>
        <w:rPr>
          <w:sz w:val="24"/>
          <w:szCs w:val="24"/>
          <w:lang w:val="en-ZA"/>
        </w:rPr>
      </w:pPr>
    </w:p>
    <w:p w:rsidR="001E780C" w:rsidRDefault="001E780C" w:rsidP="00AD44B6">
      <w:pPr>
        <w:ind w:right="1280"/>
        <w:jc w:val="both"/>
        <w:rPr>
          <w:sz w:val="24"/>
          <w:szCs w:val="24"/>
          <w:lang w:val="en-ZA"/>
        </w:rPr>
      </w:pPr>
    </w:p>
    <w:p w:rsidR="001B2A92" w:rsidRPr="001B2A92" w:rsidRDefault="001B2A92" w:rsidP="001E780C">
      <w:pPr>
        <w:ind w:left="2160" w:right="1280"/>
        <w:rPr>
          <w:sz w:val="24"/>
          <w:szCs w:val="24"/>
          <w:lang w:val="en-ZA"/>
        </w:rPr>
      </w:pPr>
      <w:r>
        <w:rPr>
          <w:sz w:val="24"/>
          <w:szCs w:val="24"/>
          <w:lang w:val="en-ZA"/>
        </w:rPr>
        <w:t xml:space="preserve"> (United Nations, 2004 cited in Crawford </w:t>
      </w:r>
      <w:r>
        <w:rPr>
          <w:i/>
          <w:sz w:val="24"/>
          <w:szCs w:val="24"/>
          <w:lang w:val="en-ZA"/>
        </w:rPr>
        <w:t>et al.</w:t>
      </w:r>
      <w:r>
        <w:rPr>
          <w:sz w:val="24"/>
          <w:szCs w:val="24"/>
          <w:lang w:val="en-ZA"/>
        </w:rPr>
        <w:t>, 2008)</w:t>
      </w:r>
    </w:p>
    <w:p w:rsidR="00EC0C1B" w:rsidRDefault="00EC0C1B" w:rsidP="00711A08">
      <w:pPr>
        <w:ind w:right="4"/>
        <w:jc w:val="both"/>
        <w:rPr>
          <w:sz w:val="24"/>
          <w:szCs w:val="24"/>
          <w:lang w:val="en-ZA"/>
        </w:rPr>
      </w:pPr>
      <w:proofErr w:type="spellStart"/>
      <w:r>
        <w:rPr>
          <w:sz w:val="24"/>
          <w:szCs w:val="24"/>
          <w:lang w:val="en-ZA"/>
        </w:rPr>
        <w:t>Antolin</w:t>
      </w:r>
      <w:proofErr w:type="spellEnd"/>
      <w:r>
        <w:rPr>
          <w:sz w:val="24"/>
          <w:szCs w:val="24"/>
          <w:lang w:val="en-ZA"/>
        </w:rPr>
        <w:t xml:space="preserve"> (2007) a</w:t>
      </w:r>
      <w:r w:rsidR="001B2A92">
        <w:rPr>
          <w:sz w:val="24"/>
          <w:szCs w:val="24"/>
          <w:lang w:val="en-ZA"/>
        </w:rPr>
        <w:t>rgues</w:t>
      </w:r>
      <w:r>
        <w:rPr>
          <w:sz w:val="24"/>
          <w:szCs w:val="24"/>
          <w:lang w:val="en-ZA"/>
        </w:rPr>
        <w:t xml:space="preserve"> that as long as these increases in life expectancy are </w:t>
      </w:r>
      <w:r w:rsidR="00D755AC">
        <w:rPr>
          <w:sz w:val="24"/>
          <w:szCs w:val="24"/>
          <w:lang w:val="en-ZA"/>
        </w:rPr>
        <w:t>taken into account when planning retirement it w</w:t>
      </w:r>
      <w:r w:rsidR="002C34F7">
        <w:rPr>
          <w:sz w:val="24"/>
          <w:szCs w:val="24"/>
          <w:lang w:val="en-ZA"/>
        </w:rPr>
        <w:t>ould have a very small effect on</w:t>
      </w:r>
      <w:r w:rsidR="00D755AC">
        <w:rPr>
          <w:sz w:val="24"/>
          <w:szCs w:val="24"/>
          <w:lang w:val="en-ZA"/>
        </w:rPr>
        <w:t xml:space="preserve"> retirement finances. However, he also states that the problem with increases in life expectancy is that it is uncertain. Therefore, he defines longevity risk as the risk that future life expectancy outcomes turn out different than expected.</w:t>
      </w:r>
    </w:p>
    <w:p w:rsidR="00D755AC" w:rsidRDefault="00D755AC" w:rsidP="00711A08">
      <w:pPr>
        <w:tabs>
          <w:tab w:val="left" w:pos="9356"/>
        </w:tabs>
        <w:ind w:right="4"/>
        <w:jc w:val="both"/>
        <w:rPr>
          <w:sz w:val="24"/>
          <w:szCs w:val="24"/>
          <w:lang w:val="en-ZA"/>
        </w:rPr>
      </w:pPr>
      <w:r>
        <w:rPr>
          <w:sz w:val="24"/>
          <w:szCs w:val="24"/>
          <w:lang w:val="en-ZA"/>
        </w:rPr>
        <w:t xml:space="preserve">More specifically, Crawford </w:t>
      </w:r>
      <w:r>
        <w:rPr>
          <w:i/>
          <w:sz w:val="24"/>
          <w:szCs w:val="24"/>
          <w:lang w:val="en-ZA"/>
        </w:rPr>
        <w:t xml:space="preserve">et al. </w:t>
      </w:r>
      <w:r>
        <w:rPr>
          <w:sz w:val="24"/>
          <w:szCs w:val="24"/>
          <w:lang w:val="en-ZA"/>
        </w:rPr>
        <w:t xml:space="preserve">(2008) defines longevity risk </w:t>
      </w:r>
      <w:r w:rsidR="007A7976">
        <w:rPr>
          <w:sz w:val="24"/>
          <w:szCs w:val="24"/>
          <w:lang w:val="en-ZA"/>
        </w:rPr>
        <w:t>from the perspective of an insurance company as the risk that the company will have to face unexpected decreases in mortality.</w:t>
      </w:r>
    </w:p>
    <w:p w:rsidR="00D755AC" w:rsidRDefault="00D755AC" w:rsidP="00711A08">
      <w:pPr>
        <w:ind w:right="4"/>
        <w:jc w:val="both"/>
        <w:rPr>
          <w:sz w:val="24"/>
          <w:szCs w:val="24"/>
          <w:lang w:val="en-ZA"/>
        </w:rPr>
      </w:pPr>
      <w:r>
        <w:rPr>
          <w:sz w:val="24"/>
          <w:szCs w:val="24"/>
          <w:lang w:val="en-ZA"/>
        </w:rPr>
        <w:t xml:space="preserve">According to </w:t>
      </w:r>
      <w:proofErr w:type="spellStart"/>
      <w:r>
        <w:rPr>
          <w:sz w:val="24"/>
          <w:szCs w:val="24"/>
          <w:lang w:val="en-ZA"/>
        </w:rPr>
        <w:t>Milevsky</w:t>
      </w:r>
      <w:proofErr w:type="spellEnd"/>
      <w:r>
        <w:rPr>
          <w:sz w:val="24"/>
          <w:szCs w:val="24"/>
          <w:lang w:val="en-ZA"/>
        </w:rPr>
        <w:t xml:space="preserve"> and </w:t>
      </w:r>
      <w:proofErr w:type="spellStart"/>
      <w:r>
        <w:rPr>
          <w:sz w:val="24"/>
          <w:szCs w:val="24"/>
          <w:lang w:val="en-ZA"/>
        </w:rPr>
        <w:t>Promislow</w:t>
      </w:r>
      <w:proofErr w:type="spellEnd"/>
      <w:r>
        <w:rPr>
          <w:sz w:val="24"/>
          <w:szCs w:val="24"/>
          <w:lang w:val="en-ZA"/>
        </w:rPr>
        <w:t xml:space="preserve"> (2003) this view is supported by Moody’s investor services:</w:t>
      </w:r>
    </w:p>
    <w:p w:rsidR="001206DB" w:rsidRDefault="00AD44B6" w:rsidP="00AD44B6">
      <w:pPr>
        <w:ind w:left="567" w:right="1280"/>
        <w:jc w:val="both"/>
        <w:rPr>
          <w:sz w:val="24"/>
          <w:szCs w:val="24"/>
          <w:lang w:val="en-ZA"/>
        </w:rPr>
      </w:pPr>
      <w:r w:rsidRPr="00696A41">
        <w:rPr>
          <w:sz w:val="24"/>
          <w:szCs w:val="24"/>
          <w:lang w:val="en-ZA"/>
        </w:rPr>
        <w:t xml:space="preserve"> </w:t>
      </w:r>
      <w:r w:rsidR="00696A41" w:rsidRPr="00696A41">
        <w:rPr>
          <w:sz w:val="24"/>
          <w:szCs w:val="24"/>
          <w:lang w:val="en-ZA"/>
        </w:rPr>
        <w:t xml:space="preserve">“Moody’s believe </w:t>
      </w:r>
      <w:r w:rsidR="00696A41">
        <w:rPr>
          <w:sz w:val="24"/>
          <w:szCs w:val="24"/>
          <w:lang w:val="en-ZA"/>
        </w:rPr>
        <w:t xml:space="preserve">that the two main risks to insurance companies from payout annuities are embedded equity guarantees and inaccurate longevity assumptions ... Aggressive longevity assumptions relate to mortality risk assumed, or the risk that annuitants will on average live longer than originally assumed by the insurer, thus extending the period for which the insurer is obligated to make these monthly payments.” (Moody’s investor services cited in </w:t>
      </w:r>
      <w:proofErr w:type="spellStart"/>
      <w:r w:rsidR="00696A41">
        <w:rPr>
          <w:sz w:val="24"/>
          <w:szCs w:val="24"/>
          <w:lang w:val="en-ZA"/>
        </w:rPr>
        <w:t>Milevsky</w:t>
      </w:r>
      <w:proofErr w:type="spellEnd"/>
      <w:r w:rsidR="00696A41">
        <w:rPr>
          <w:sz w:val="24"/>
          <w:szCs w:val="24"/>
          <w:lang w:val="en-ZA"/>
        </w:rPr>
        <w:t xml:space="preserve"> and </w:t>
      </w:r>
      <w:proofErr w:type="spellStart"/>
      <w:r w:rsidR="00696A41">
        <w:rPr>
          <w:sz w:val="24"/>
          <w:szCs w:val="24"/>
          <w:lang w:val="en-ZA"/>
        </w:rPr>
        <w:t>Promislow</w:t>
      </w:r>
      <w:proofErr w:type="spellEnd"/>
      <w:r w:rsidR="00696A41">
        <w:rPr>
          <w:sz w:val="24"/>
          <w:szCs w:val="24"/>
          <w:lang w:val="en-ZA"/>
        </w:rPr>
        <w:t>, 2003)</w:t>
      </w:r>
    </w:p>
    <w:p w:rsidR="00DC7D0C" w:rsidRDefault="00DC7D0C" w:rsidP="00846A41">
      <w:pPr>
        <w:jc w:val="both"/>
        <w:rPr>
          <w:rFonts w:cs="AdvT001"/>
          <w:sz w:val="24"/>
          <w:szCs w:val="24"/>
        </w:rPr>
      </w:pPr>
      <w:r>
        <w:rPr>
          <w:sz w:val="24"/>
          <w:szCs w:val="24"/>
          <w:lang w:val="en-ZA"/>
        </w:rPr>
        <w:t xml:space="preserve">This view is supported by Willets </w:t>
      </w:r>
      <w:r>
        <w:rPr>
          <w:i/>
          <w:sz w:val="24"/>
          <w:szCs w:val="24"/>
          <w:lang w:val="en-ZA"/>
        </w:rPr>
        <w:t xml:space="preserve">et al. </w:t>
      </w:r>
      <w:r>
        <w:rPr>
          <w:sz w:val="24"/>
          <w:szCs w:val="24"/>
          <w:lang w:val="en-ZA"/>
        </w:rPr>
        <w:t>(2004)</w:t>
      </w:r>
      <w:r w:rsidR="00257CB7">
        <w:rPr>
          <w:sz w:val="24"/>
          <w:szCs w:val="24"/>
          <w:lang w:val="en-ZA"/>
        </w:rPr>
        <w:t xml:space="preserve">. They state that a cohort effect can be observed in mortality data. They define the cohort effect as </w:t>
      </w:r>
      <w:r w:rsidR="00257CB7">
        <w:rPr>
          <w:rFonts w:cs="AdvT001"/>
          <w:sz w:val="24"/>
          <w:szCs w:val="24"/>
        </w:rPr>
        <w:t>t</w:t>
      </w:r>
      <w:r w:rsidR="00257CB7" w:rsidRPr="00257CB7">
        <w:rPr>
          <w:rFonts w:cs="AdvT001"/>
          <w:sz w:val="24"/>
          <w:szCs w:val="24"/>
        </w:rPr>
        <w:t>he influence of year of birth on mortality improvement rates</w:t>
      </w:r>
      <w:r w:rsidR="00257CB7">
        <w:rPr>
          <w:rFonts w:cs="AdvT001"/>
          <w:sz w:val="24"/>
          <w:szCs w:val="24"/>
        </w:rPr>
        <w:t>. This will mean that before deciding what will be the correct improvement shock to apply to the mortality table, the year of birth of the annuitant or assured life have to be taken into account.</w:t>
      </w:r>
      <w:r w:rsidR="00FC48EA">
        <w:rPr>
          <w:rFonts w:cs="AdvT001"/>
          <w:sz w:val="24"/>
          <w:szCs w:val="24"/>
        </w:rPr>
        <w:t xml:space="preserve"> They have also shown that the greatest increase in life expectancy over the past century </w:t>
      </w:r>
      <w:r w:rsidR="00BA593F">
        <w:rPr>
          <w:rFonts w:cs="AdvT001"/>
          <w:sz w:val="24"/>
          <w:szCs w:val="24"/>
        </w:rPr>
        <w:t>was experienced by people who were born between 1925 and 1945.</w:t>
      </w:r>
    </w:p>
    <w:p w:rsidR="0027097F" w:rsidRPr="0027097F" w:rsidRDefault="0027097F" w:rsidP="00846A41">
      <w:pPr>
        <w:jc w:val="both"/>
        <w:rPr>
          <w:rFonts w:cs="AdvT001"/>
          <w:sz w:val="24"/>
          <w:szCs w:val="24"/>
        </w:rPr>
      </w:pPr>
      <w:r>
        <w:rPr>
          <w:rFonts w:cs="AdvT001"/>
          <w:sz w:val="24"/>
          <w:szCs w:val="24"/>
        </w:rPr>
        <w:t xml:space="preserve">Crawford </w:t>
      </w:r>
      <w:r>
        <w:rPr>
          <w:rFonts w:cs="AdvT001"/>
          <w:i/>
          <w:sz w:val="24"/>
          <w:szCs w:val="24"/>
        </w:rPr>
        <w:t>et al.</w:t>
      </w:r>
      <w:r>
        <w:rPr>
          <w:rFonts w:cs="AdvT001"/>
          <w:sz w:val="24"/>
          <w:szCs w:val="24"/>
        </w:rPr>
        <w:t xml:space="preserve"> (2008) agrees with this by stating that </w:t>
      </w:r>
      <w:r w:rsidR="00864EB7">
        <w:rPr>
          <w:rFonts w:cs="AdvT001"/>
          <w:sz w:val="24"/>
          <w:szCs w:val="24"/>
        </w:rPr>
        <w:t xml:space="preserve">the most important </w:t>
      </w:r>
      <w:r w:rsidR="00731712">
        <w:rPr>
          <w:rFonts w:cs="AdvT001"/>
          <w:sz w:val="24"/>
          <w:szCs w:val="24"/>
        </w:rPr>
        <w:t>implication</w:t>
      </w:r>
      <w:r w:rsidR="00864EB7">
        <w:rPr>
          <w:rFonts w:cs="AdvT001"/>
          <w:sz w:val="24"/>
          <w:szCs w:val="24"/>
        </w:rPr>
        <w:t xml:space="preserve"> of the cohort effect is that </w:t>
      </w:r>
      <w:proofErr w:type="gramStart"/>
      <w:r w:rsidR="00864EB7">
        <w:rPr>
          <w:rFonts w:cs="AdvT001"/>
          <w:sz w:val="24"/>
          <w:szCs w:val="24"/>
        </w:rPr>
        <w:t>mortality rates for a population does</w:t>
      </w:r>
      <w:proofErr w:type="gramEnd"/>
      <w:r w:rsidR="00864EB7">
        <w:rPr>
          <w:rFonts w:cs="AdvT001"/>
          <w:sz w:val="24"/>
          <w:szCs w:val="24"/>
        </w:rPr>
        <w:t xml:space="preserve"> not improve at a constant rate. Furthermore, they state that this could have significant implications for companies when the future pricing of products is considered.</w:t>
      </w:r>
    </w:p>
    <w:p w:rsidR="00846A41" w:rsidRDefault="00AE77A4" w:rsidP="00731712">
      <w:pPr>
        <w:jc w:val="both"/>
        <w:rPr>
          <w:sz w:val="24"/>
          <w:szCs w:val="24"/>
          <w:lang w:val="en-ZA"/>
        </w:rPr>
      </w:pPr>
      <w:r>
        <w:rPr>
          <w:sz w:val="24"/>
          <w:szCs w:val="24"/>
          <w:lang w:val="en-ZA"/>
        </w:rPr>
        <w:lastRenderedPageBreak/>
        <w:t xml:space="preserve">Cox and Lin (2004) </w:t>
      </w:r>
      <w:r w:rsidR="00731712">
        <w:rPr>
          <w:sz w:val="24"/>
          <w:szCs w:val="24"/>
          <w:lang w:val="en-ZA"/>
        </w:rPr>
        <w:t>found that</w:t>
      </w:r>
      <w:r>
        <w:rPr>
          <w:sz w:val="24"/>
          <w:szCs w:val="24"/>
          <w:lang w:val="en-ZA"/>
        </w:rPr>
        <w:t xml:space="preserve"> the natural hedge might </w:t>
      </w:r>
      <w:r w:rsidR="00731712">
        <w:rPr>
          <w:sz w:val="24"/>
          <w:szCs w:val="24"/>
          <w:lang w:val="en-ZA"/>
        </w:rPr>
        <w:t xml:space="preserve">improve </w:t>
      </w:r>
      <w:r>
        <w:rPr>
          <w:sz w:val="24"/>
          <w:szCs w:val="24"/>
          <w:lang w:val="en-ZA"/>
        </w:rPr>
        <w:t>the profit</w:t>
      </w:r>
      <w:r w:rsidR="00731712">
        <w:rPr>
          <w:sz w:val="24"/>
          <w:szCs w:val="24"/>
          <w:lang w:val="en-ZA"/>
        </w:rPr>
        <w:t xml:space="preserve">ability of an insurance company, or improve pricing and competitiveness. </w:t>
      </w:r>
      <w:r w:rsidR="00846A41">
        <w:rPr>
          <w:sz w:val="24"/>
          <w:szCs w:val="24"/>
          <w:lang w:val="en-ZA"/>
        </w:rPr>
        <w:t xml:space="preserve">This view is supported by </w:t>
      </w:r>
      <w:proofErr w:type="spellStart"/>
      <w:r w:rsidR="00846A41">
        <w:rPr>
          <w:sz w:val="24"/>
          <w:szCs w:val="24"/>
          <w:lang w:val="en-ZA"/>
        </w:rPr>
        <w:t>Mungan</w:t>
      </w:r>
      <w:proofErr w:type="spellEnd"/>
      <w:r w:rsidR="00846A41">
        <w:rPr>
          <w:sz w:val="24"/>
          <w:szCs w:val="24"/>
          <w:lang w:val="en-ZA"/>
        </w:rPr>
        <w:t xml:space="preserve"> (2004):</w:t>
      </w:r>
    </w:p>
    <w:p w:rsidR="00EB6798" w:rsidRDefault="00BA593F" w:rsidP="00846A41">
      <w:pPr>
        <w:jc w:val="both"/>
        <w:rPr>
          <w:sz w:val="24"/>
          <w:szCs w:val="24"/>
          <w:lang w:val="en-ZA"/>
        </w:rPr>
      </w:pPr>
      <w:r>
        <w:rPr>
          <w:sz w:val="24"/>
          <w:szCs w:val="24"/>
          <w:lang w:val="en-ZA"/>
        </w:rPr>
        <w:t>However</w:t>
      </w:r>
      <w:r w:rsidR="00EB6798">
        <w:rPr>
          <w:sz w:val="24"/>
          <w:szCs w:val="24"/>
          <w:lang w:val="en-ZA"/>
        </w:rPr>
        <w:t xml:space="preserve">, </w:t>
      </w:r>
      <w:proofErr w:type="spellStart"/>
      <w:r w:rsidR="004C0F3E">
        <w:rPr>
          <w:sz w:val="24"/>
          <w:szCs w:val="24"/>
          <w:lang w:val="en-ZA"/>
        </w:rPr>
        <w:t>Milevsky</w:t>
      </w:r>
      <w:proofErr w:type="spellEnd"/>
      <w:r w:rsidR="004C0F3E">
        <w:rPr>
          <w:sz w:val="24"/>
          <w:szCs w:val="24"/>
          <w:lang w:val="en-ZA"/>
        </w:rPr>
        <w:t xml:space="preserve"> and </w:t>
      </w:r>
      <w:proofErr w:type="spellStart"/>
      <w:r w:rsidR="004C0F3E">
        <w:rPr>
          <w:sz w:val="24"/>
          <w:szCs w:val="24"/>
          <w:lang w:val="en-ZA"/>
        </w:rPr>
        <w:t>Promislow</w:t>
      </w:r>
      <w:proofErr w:type="spellEnd"/>
      <w:r w:rsidR="004C0F3E">
        <w:rPr>
          <w:sz w:val="24"/>
          <w:szCs w:val="24"/>
          <w:lang w:val="en-ZA"/>
        </w:rPr>
        <w:t xml:space="preserve"> (2003)</w:t>
      </w:r>
      <w:r w:rsidR="00EB6798">
        <w:rPr>
          <w:sz w:val="24"/>
          <w:szCs w:val="24"/>
          <w:lang w:val="en-ZA"/>
        </w:rPr>
        <w:t xml:space="preserve"> state that even though on a purely theoretical level, life insurance and annuity liabilities are sensitive in opposing directions to changes in the entire mortality table the traditional economic response of using this difference in reactions to obtain a hedge is dismissed by the life insurance industry.</w:t>
      </w:r>
      <w:r w:rsidR="00731712">
        <w:rPr>
          <w:sz w:val="24"/>
          <w:szCs w:val="24"/>
          <w:lang w:val="en-ZA"/>
        </w:rPr>
        <w:t xml:space="preserve"> This might be changing rapidly with developments in applying the natural hedge.</w:t>
      </w:r>
    </w:p>
    <w:p w:rsidR="008B3691" w:rsidRDefault="00AE77A4" w:rsidP="00846A41">
      <w:pPr>
        <w:jc w:val="both"/>
        <w:rPr>
          <w:sz w:val="24"/>
          <w:szCs w:val="24"/>
          <w:lang w:val="en-ZA"/>
        </w:rPr>
      </w:pPr>
      <w:r>
        <w:rPr>
          <w:sz w:val="24"/>
          <w:szCs w:val="24"/>
          <w:lang w:val="en-ZA"/>
        </w:rPr>
        <w:t>Cox and Lin (2004) state that even though most insurance companies issue whole of life annuities as well as life assurance contracts</w:t>
      </w:r>
      <w:r w:rsidR="008B3691">
        <w:rPr>
          <w:sz w:val="24"/>
          <w:szCs w:val="24"/>
          <w:lang w:val="en-ZA"/>
        </w:rPr>
        <w:t>,</w:t>
      </w:r>
      <w:r>
        <w:rPr>
          <w:sz w:val="24"/>
          <w:szCs w:val="24"/>
          <w:lang w:val="en-ZA"/>
        </w:rPr>
        <w:t xml:space="preserve"> the combination of these two types of products </w:t>
      </w:r>
      <w:r w:rsidR="00BA593F">
        <w:rPr>
          <w:sz w:val="24"/>
          <w:szCs w:val="24"/>
          <w:lang w:val="en-ZA"/>
        </w:rPr>
        <w:t xml:space="preserve">in the portfolio of a single company </w:t>
      </w:r>
      <w:r>
        <w:rPr>
          <w:sz w:val="24"/>
          <w:szCs w:val="24"/>
          <w:lang w:val="en-ZA"/>
        </w:rPr>
        <w:t>may not be optimal in order to obtain a natural hedge.</w:t>
      </w:r>
      <w:r w:rsidR="004C0F3E">
        <w:rPr>
          <w:sz w:val="24"/>
          <w:szCs w:val="24"/>
          <w:lang w:val="en-ZA"/>
        </w:rPr>
        <w:t xml:space="preserve"> They state that it may be too expensive and difficult for an insurer to </w:t>
      </w:r>
      <w:r w:rsidR="00731712">
        <w:rPr>
          <w:sz w:val="24"/>
          <w:szCs w:val="24"/>
          <w:lang w:val="en-ZA"/>
        </w:rPr>
        <w:t xml:space="preserve">develop new product lines and </w:t>
      </w:r>
      <w:r w:rsidR="004C0F3E">
        <w:rPr>
          <w:sz w:val="24"/>
          <w:szCs w:val="24"/>
          <w:lang w:val="en-ZA"/>
        </w:rPr>
        <w:t>obtain more of the business that is needed to obtain a natural hedge.</w:t>
      </w:r>
    </w:p>
    <w:p w:rsidR="00AE77A4" w:rsidRDefault="008B3691" w:rsidP="00846A41">
      <w:pPr>
        <w:jc w:val="both"/>
        <w:rPr>
          <w:sz w:val="24"/>
          <w:szCs w:val="24"/>
          <w:lang w:val="en-ZA"/>
        </w:rPr>
      </w:pPr>
      <w:r>
        <w:rPr>
          <w:sz w:val="24"/>
          <w:szCs w:val="24"/>
          <w:lang w:val="en-ZA"/>
        </w:rPr>
        <w:t xml:space="preserve">Furthermore, Cox and Lin (2004) </w:t>
      </w:r>
      <w:r w:rsidR="00731712">
        <w:rPr>
          <w:sz w:val="24"/>
          <w:szCs w:val="24"/>
          <w:lang w:val="en-ZA"/>
        </w:rPr>
        <w:t xml:space="preserve">also </w:t>
      </w:r>
      <w:r>
        <w:rPr>
          <w:sz w:val="24"/>
          <w:szCs w:val="24"/>
          <w:lang w:val="en-ZA"/>
        </w:rPr>
        <w:t xml:space="preserve">foresee that </w:t>
      </w:r>
      <w:r w:rsidR="00E613A8">
        <w:rPr>
          <w:sz w:val="24"/>
          <w:szCs w:val="24"/>
          <w:lang w:val="en-ZA"/>
        </w:rPr>
        <w:t>the</w:t>
      </w:r>
      <w:r>
        <w:rPr>
          <w:sz w:val="24"/>
          <w:szCs w:val="24"/>
          <w:lang w:val="en-ZA"/>
        </w:rPr>
        <w:t xml:space="preserve"> natural hedge will not be static</w:t>
      </w:r>
      <w:r w:rsidR="00E613A8">
        <w:rPr>
          <w:sz w:val="24"/>
          <w:szCs w:val="24"/>
          <w:lang w:val="en-ZA"/>
        </w:rPr>
        <w:t xml:space="preserve">. If it is possible to balance internally by means of selling the </w:t>
      </w:r>
      <w:r>
        <w:rPr>
          <w:sz w:val="24"/>
          <w:szCs w:val="24"/>
          <w:lang w:val="en-ZA"/>
        </w:rPr>
        <w:t xml:space="preserve">extra products required to obtain a natural </w:t>
      </w:r>
      <w:r w:rsidR="00725882">
        <w:rPr>
          <w:sz w:val="24"/>
          <w:szCs w:val="24"/>
          <w:lang w:val="en-ZA"/>
        </w:rPr>
        <w:t>hedge remains an open question.</w:t>
      </w:r>
    </w:p>
    <w:p w:rsidR="00B21660" w:rsidRPr="00B21660" w:rsidRDefault="00E613A8" w:rsidP="00846A41">
      <w:pPr>
        <w:jc w:val="both"/>
        <w:rPr>
          <w:sz w:val="24"/>
          <w:szCs w:val="24"/>
          <w:lang w:val="en-ZA"/>
        </w:rPr>
      </w:pPr>
      <w:r>
        <w:rPr>
          <w:sz w:val="24"/>
          <w:szCs w:val="24"/>
          <w:lang w:val="en-ZA"/>
        </w:rPr>
        <w:t xml:space="preserve">It was shown by </w:t>
      </w:r>
      <w:r w:rsidR="00B21660">
        <w:rPr>
          <w:sz w:val="24"/>
          <w:szCs w:val="24"/>
          <w:lang w:val="en-ZA"/>
        </w:rPr>
        <w:t xml:space="preserve">Stevens </w:t>
      </w:r>
      <w:r w:rsidR="00B21660">
        <w:rPr>
          <w:i/>
          <w:sz w:val="24"/>
          <w:szCs w:val="24"/>
          <w:lang w:val="en-ZA"/>
        </w:rPr>
        <w:t xml:space="preserve">et al. </w:t>
      </w:r>
      <w:r w:rsidR="00B21660">
        <w:rPr>
          <w:sz w:val="24"/>
          <w:szCs w:val="24"/>
          <w:lang w:val="en-ZA"/>
        </w:rPr>
        <w:t xml:space="preserve">(2009) that </w:t>
      </w:r>
      <w:r>
        <w:rPr>
          <w:sz w:val="24"/>
          <w:szCs w:val="24"/>
          <w:lang w:val="en-ZA"/>
        </w:rPr>
        <w:t xml:space="preserve">the natural hedge effect </w:t>
      </w:r>
      <w:r w:rsidR="00B21660">
        <w:rPr>
          <w:sz w:val="24"/>
          <w:szCs w:val="24"/>
          <w:lang w:val="en-ZA"/>
        </w:rPr>
        <w:t>can significantly reduce the amount of reserve</w:t>
      </w:r>
      <w:r>
        <w:rPr>
          <w:sz w:val="24"/>
          <w:szCs w:val="24"/>
          <w:lang w:val="en-ZA"/>
        </w:rPr>
        <w:t>s required</w:t>
      </w:r>
      <w:r w:rsidR="00B21660">
        <w:rPr>
          <w:sz w:val="24"/>
          <w:szCs w:val="24"/>
          <w:lang w:val="en-ZA"/>
        </w:rPr>
        <w:t>. However, the product mix</w:t>
      </w:r>
      <w:r>
        <w:rPr>
          <w:sz w:val="24"/>
          <w:szCs w:val="24"/>
          <w:lang w:val="en-ZA"/>
        </w:rPr>
        <w:t xml:space="preserve"> determines the size of such a reduction</w:t>
      </w:r>
      <w:r w:rsidR="00B21660">
        <w:rPr>
          <w:sz w:val="24"/>
          <w:szCs w:val="24"/>
          <w:lang w:val="en-ZA"/>
        </w:rPr>
        <w:t>.</w:t>
      </w:r>
    </w:p>
    <w:p w:rsidR="00A6158A" w:rsidRDefault="00B21660" w:rsidP="00846A41">
      <w:pPr>
        <w:jc w:val="both"/>
        <w:rPr>
          <w:sz w:val="24"/>
          <w:szCs w:val="24"/>
          <w:lang w:val="en-ZA"/>
        </w:rPr>
      </w:pPr>
      <w:r>
        <w:rPr>
          <w:sz w:val="24"/>
          <w:szCs w:val="24"/>
          <w:lang w:val="en-ZA"/>
        </w:rPr>
        <w:t xml:space="preserve">Regarding possible ways to determine the optimal mix of annuities and assurances to use in order to obtain a natural hedge several papers investigate different possibilities. </w:t>
      </w:r>
      <w:r w:rsidR="009317EA">
        <w:rPr>
          <w:sz w:val="24"/>
          <w:szCs w:val="24"/>
          <w:lang w:val="en-ZA"/>
        </w:rPr>
        <w:t xml:space="preserve">For example, </w:t>
      </w:r>
      <w:r w:rsidR="00A6158A">
        <w:rPr>
          <w:sz w:val="24"/>
          <w:szCs w:val="24"/>
          <w:lang w:val="en-ZA"/>
        </w:rPr>
        <w:t xml:space="preserve">Wang </w:t>
      </w:r>
      <w:r w:rsidR="00A6158A">
        <w:rPr>
          <w:i/>
          <w:sz w:val="24"/>
          <w:szCs w:val="24"/>
          <w:lang w:val="en-ZA"/>
        </w:rPr>
        <w:t xml:space="preserve">et al. </w:t>
      </w:r>
      <w:r w:rsidR="00A6158A">
        <w:rPr>
          <w:sz w:val="24"/>
          <w:szCs w:val="24"/>
          <w:lang w:val="en-ZA"/>
        </w:rPr>
        <w:t xml:space="preserve">(2009) </w:t>
      </w:r>
      <w:r w:rsidR="00AB2B26">
        <w:rPr>
          <w:sz w:val="24"/>
          <w:szCs w:val="24"/>
          <w:lang w:val="en-ZA"/>
        </w:rPr>
        <w:t>extend the immunizatio</w:t>
      </w:r>
      <w:r w:rsidR="00A81459">
        <w:rPr>
          <w:sz w:val="24"/>
          <w:szCs w:val="24"/>
          <w:lang w:val="en-ZA"/>
        </w:rPr>
        <w:t xml:space="preserve">n theory proposed by </w:t>
      </w:r>
      <w:proofErr w:type="spellStart"/>
      <w:r w:rsidR="00A81459">
        <w:rPr>
          <w:sz w:val="24"/>
          <w:szCs w:val="24"/>
          <w:lang w:val="en-ZA"/>
        </w:rPr>
        <w:t>Redington</w:t>
      </w:r>
      <w:proofErr w:type="spellEnd"/>
      <w:r w:rsidR="00A81459">
        <w:rPr>
          <w:sz w:val="24"/>
          <w:szCs w:val="24"/>
          <w:lang w:val="en-ZA"/>
        </w:rPr>
        <w:t xml:space="preserve"> in </w:t>
      </w:r>
      <w:r w:rsidR="00AB2B26">
        <w:rPr>
          <w:sz w:val="24"/>
          <w:szCs w:val="24"/>
          <w:lang w:val="en-ZA"/>
        </w:rPr>
        <w:t xml:space="preserve">1952 to deal with </w:t>
      </w:r>
      <w:r w:rsidR="00A81459">
        <w:rPr>
          <w:sz w:val="24"/>
          <w:szCs w:val="24"/>
          <w:lang w:val="en-ZA"/>
        </w:rPr>
        <w:t xml:space="preserve">longevity risk. They argue that this is possible because the effect </w:t>
      </w:r>
      <w:r w:rsidR="00BA593F">
        <w:rPr>
          <w:sz w:val="24"/>
          <w:szCs w:val="24"/>
          <w:lang w:val="en-ZA"/>
        </w:rPr>
        <w:t>that</w:t>
      </w:r>
      <w:r w:rsidR="00A81459">
        <w:rPr>
          <w:sz w:val="24"/>
          <w:szCs w:val="24"/>
          <w:lang w:val="en-ZA"/>
        </w:rPr>
        <w:t xml:space="preserve"> </w:t>
      </w:r>
      <w:r w:rsidR="00BA593F">
        <w:rPr>
          <w:sz w:val="24"/>
          <w:szCs w:val="24"/>
          <w:lang w:val="en-ZA"/>
        </w:rPr>
        <w:t>changes in mortality rates</w:t>
      </w:r>
      <w:r w:rsidR="00A81459">
        <w:rPr>
          <w:sz w:val="24"/>
          <w:szCs w:val="24"/>
          <w:lang w:val="en-ZA"/>
        </w:rPr>
        <w:t xml:space="preserve"> </w:t>
      </w:r>
      <w:r w:rsidR="00BA593F">
        <w:rPr>
          <w:sz w:val="24"/>
          <w:szCs w:val="24"/>
          <w:lang w:val="en-ZA"/>
        </w:rPr>
        <w:t xml:space="preserve">has </w:t>
      </w:r>
      <w:r w:rsidR="00A81459">
        <w:rPr>
          <w:sz w:val="24"/>
          <w:szCs w:val="24"/>
          <w:lang w:val="en-ZA"/>
        </w:rPr>
        <w:t>on the liability of life insurers is similar to that of an interest rate change.</w:t>
      </w:r>
    </w:p>
    <w:p w:rsidR="00725882" w:rsidRDefault="00725882" w:rsidP="00846A41">
      <w:pPr>
        <w:jc w:val="both"/>
        <w:rPr>
          <w:sz w:val="24"/>
          <w:szCs w:val="24"/>
          <w:lang w:val="en-ZA"/>
        </w:rPr>
      </w:pPr>
      <w:r>
        <w:rPr>
          <w:sz w:val="24"/>
          <w:szCs w:val="24"/>
          <w:lang w:val="en-ZA"/>
        </w:rPr>
        <w:t>Cox and Lin (2004) on the other hand propose a mortality swap between two companies, a life insurer and an annuity insurer, without considering the possibility of a natural hedge</w:t>
      </w:r>
      <w:r w:rsidR="003A53DB">
        <w:rPr>
          <w:sz w:val="24"/>
          <w:szCs w:val="24"/>
          <w:lang w:val="en-ZA"/>
        </w:rPr>
        <w:t xml:space="preserve"> within one company on its own.</w:t>
      </w:r>
    </w:p>
    <w:p w:rsidR="00D35FAA" w:rsidRDefault="00D35FAA" w:rsidP="00846A41">
      <w:pPr>
        <w:jc w:val="both"/>
        <w:rPr>
          <w:sz w:val="24"/>
          <w:szCs w:val="24"/>
          <w:lang w:val="en-ZA"/>
        </w:rPr>
      </w:pPr>
      <w:r>
        <w:rPr>
          <w:sz w:val="24"/>
          <w:szCs w:val="24"/>
          <w:lang w:val="en-ZA"/>
        </w:rPr>
        <w:t>In a</w:t>
      </w:r>
      <w:r w:rsidR="0054698E">
        <w:rPr>
          <w:sz w:val="24"/>
          <w:szCs w:val="24"/>
          <w:lang w:val="en-ZA"/>
        </w:rPr>
        <w:t>nother paper, Cox and Lin (2007) gives more empirical evidence to prove that a natural hedge is the ideal solution for a company facing longevity risk and develops a pricing strategy for a mortality swap between two companies. They argue that mortality swaps will make the option of a natural hedge more widely available.</w:t>
      </w:r>
    </w:p>
    <w:p w:rsidR="00A81459" w:rsidRDefault="00E613A8" w:rsidP="00846A41">
      <w:pPr>
        <w:jc w:val="both"/>
        <w:rPr>
          <w:sz w:val="24"/>
          <w:szCs w:val="24"/>
          <w:lang w:val="en-ZA"/>
        </w:rPr>
      </w:pPr>
      <w:r>
        <w:rPr>
          <w:sz w:val="24"/>
          <w:szCs w:val="24"/>
          <w:lang w:val="en-ZA"/>
        </w:rPr>
        <w:t>The little correlation between capital markets and mortality makes it an excellent diversification tool in investment portfolios, as noted by</w:t>
      </w:r>
      <w:r w:rsidR="00A81459">
        <w:rPr>
          <w:sz w:val="24"/>
          <w:szCs w:val="24"/>
          <w:lang w:val="en-ZA"/>
        </w:rPr>
        <w:t xml:space="preserve"> Crawford </w:t>
      </w:r>
      <w:r w:rsidR="00A81459">
        <w:rPr>
          <w:i/>
          <w:sz w:val="24"/>
          <w:szCs w:val="24"/>
          <w:lang w:val="en-ZA"/>
        </w:rPr>
        <w:t xml:space="preserve">et al. </w:t>
      </w:r>
      <w:r w:rsidR="00A81459">
        <w:rPr>
          <w:sz w:val="24"/>
          <w:szCs w:val="24"/>
          <w:lang w:val="en-ZA"/>
        </w:rPr>
        <w:t>(2008)</w:t>
      </w:r>
      <w:r>
        <w:rPr>
          <w:sz w:val="24"/>
          <w:szCs w:val="24"/>
          <w:lang w:val="en-ZA"/>
        </w:rPr>
        <w:t>.</w:t>
      </w:r>
      <w:r w:rsidR="00A81459">
        <w:rPr>
          <w:sz w:val="24"/>
          <w:szCs w:val="24"/>
          <w:lang w:val="en-ZA"/>
        </w:rPr>
        <w:t xml:space="preserve"> </w:t>
      </w:r>
      <w:r>
        <w:rPr>
          <w:sz w:val="24"/>
          <w:szCs w:val="24"/>
          <w:lang w:val="en-ZA"/>
        </w:rPr>
        <w:t xml:space="preserve">Many role players in the </w:t>
      </w:r>
      <w:r>
        <w:rPr>
          <w:sz w:val="24"/>
          <w:szCs w:val="24"/>
          <w:lang w:val="en-ZA"/>
        </w:rPr>
        <w:lastRenderedPageBreak/>
        <w:t xml:space="preserve">capital market may also be interested in the hedging effect </w:t>
      </w:r>
      <w:r w:rsidR="000367AA">
        <w:rPr>
          <w:sz w:val="24"/>
          <w:szCs w:val="24"/>
          <w:lang w:val="en-ZA"/>
        </w:rPr>
        <w:t>of longevity securities, for example medical companies.</w:t>
      </w:r>
    </w:p>
    <w:p w:rsidR="008860BB" w:rsidRPr="003A53DB" w:rsidRDefault="000367AA" w:rsidP="00846A41">
      <w:pPr>
        <w:jc w:val="both"/>
        <w:rPr>
          <w:sz w:val="24"/>
          <w:szCs w:val="24"/>
          <w:lang w:val="en-ZA"/>
        </w:rPr>
      </w:pPr>
      <w:r>
        <w:rPr>
          <w:sz w:val="24"/>
          <w:szCs w:val="24"/>
          <w:lang w:val="en-ZA"/>
        </w:rPr>
        <w:t>Although we are not at the point of having standardised actively traded longevity securities yet, it may not be too far off.  Certain uncertainties have to be sorted out, and fears addressed, to generate confidence in the capital market. The rest of the paper hopes to contribute in this direction. The principles underlying the method are explained next, followed by an application and results.</w:t>
      </w:r>
    </w:p>
    <w:p w:rsidR="005A678A" w:rsidRPr="001206DB" w:rsidRDefault="005A678A">
      <w:pPr>
        <w:rPr>
          <w:sz w:val="24"/>
          <w:szCs w:val="24"/>
          <w:lang w:val="en-ZA"/>
        </w:rPr>
      </w:pPr>
    </w:p>
    <w:p w:rsidR="000669A2" w:rsidRDefault="00A06E62" w:rsidP="001C1AA2">
      <w:pPr>
        <w:pStyle w:val="Heading1"/>
        <w:numPr>
          <w:ilvl w:val="0"/>
          <w:numId w:val="10"/>
        </w:numPr>
        <w:spacing w:before="0" w:after="240"/>
        <w:jc w:val="both"/>
      </w:pPr>
      <w:bookmarkStart w:id="10" w:name="_Toc374709713"/>
      <w:r w:rsidRPr="005614BA">
        <w:rPr>
          <w:rStyle w:val="IntenseEmphasis"/>
          <w:b/>
          <w:bCs/>
          <w:i w:val="0"/>
          <w:iCs w:val="0"/>
          <w:color w:val="365F91" w:themeColor="accent1" w:themeShade="BF"/>
        </w:rPr>
        <w:t>Methodology</w:t>
      </w:r>
      <w:bookmarkEnd w:id="10"/>
    </w:p>
    <w:p w:rsidR="00182692" w:rsidRDefault="001C1AA2" w:rsidP="001C1AA2">
      <w:pPr>
        <w:pStyle w:val="Heading2"/>
      </w:pPr>
      <w:bookmarkStart w:id="11" w:name="_Toc374709714"/>
      <w:r>
        <w:t xml:space="preserve">3.1 </w:t>
      </w:r>
      <w:r w:rsidR="00182692">
        <w:t>The Theory</w:t>
      </w:r>
      <w:bookmarkEnd w:id="11"/>
    </w:p>
    <w:p w:rsidR="00182692" w:rsidRPr="008862A3" w:rsidRDefault="00182692" w:rsidP="0037647B">
      <w:pPr>
        <w:jc w:val="both"/>
        <w:rPr>
          <w:rFonts w:eastAsiaTheme="minorEastAsia" w:cstheme="minorHAnsi"/>
          <w:sz w:val="24"/>
          <w:szCs w:val="24"/>
        </w:rPr>
      </w:pPr>
      <w:r w:rsidRPr="008862A3">
        <w:rPr>
          <w:rFonts w:cstheme="minorHAnsi"/>
          <w:sz w:val="24"/>
          <w:szCs w:val="24"/>
        </w:rPr>
        <w:t xml:space="preserve">Different methods exist to apply mortality improvements. In practice the improvement is usually applied to the mortality </w:t>
      </w:r>
      <w:proofErr w:type="gramStart"/>
      <w:r w:rsidRPr="008862A3">
        <w:rPr>
          <w:rFonts w:cstheme="minorHAnsi"/>
          <w:sz w:val="24"/>
          <w:szCs w:val="24"/>
        </w:rPr>
        <w:t>rate</w:t>
      </w:r>
      <w:r w:rsidR="00001F76">
        <w:rPr>
          <w:rFonts w:cstheme="minorHAnsi"/>
          <w:sz w:val="24"/>
          <w:szCs w:val="24"/>
        </w:rPr>
        <w:t xml:space="preserve"> </w:t>
      </w:r>
      <w:proofErr w:type="gramEnd"/>
      <m:oMath>
        <m:sSub>
          <m:sSubPr>
            <m:ctrlPr>
              <w:rPr>
                <w:rFonts w:ascii="Cambria Math" w:hAnsi="Cambria Math" w:cstheme="minorHAnsi"/>
                <w:i/>
                <w:sz w:val="24"/>
                <w:szCs w:val="24"/>
              </w:rPr>
            </m:ctrlPr>
          </m:sSubPr>
          <m:e>
            <m:r>
              <w:rPr>
                <w:rFonts w:ascii="Cambria Math" w:hAnsi="Cambria Math" w:cstheme="minorHAnsi"/>
                <w:sz w:val="24"/>
                <w:szCs w:val="24"/>
              </w:rPr>
              <m:t>q</m:t>
            </m:r>
          </m:e>
          <m:sub>
            <m:r>
              <w:rPr>
                <w:rFonts w:ascii="Cambria Math" w:hAnsi="Cambria Math" w:cstheme="minorHAnsi"/>
                <w:sz w:val="24"/>
                <w:szCs w:val="24"/>
              </w:rPr>
              <m:t>x</m:t>
            </m:r>
          </m:sub>
        </m:sSub>
      </m:oMath>
      <w:r w:rsidRPr="008862A3">
        <w:rPr>
          <w:rFonts w:eastAsiaTheme="minorEastAsia" w:cstheme="minorHAnsi"/>
          <w:sz w:val="24"/>
          <w:szCs w:val="24"/>
        </w:rPr>
        <w:t xml:space="preserve">. For example, let the annual improvement rate </w:t>
      </w:r>
      <m:oMath>
        <m:r>
          <w:rPr>
            <w:rFonts w:ascii="Cambria Math" w:eastAsiaTheme="minorEastAsia" w:hAnsi="Cambria Math" w:cstheme="minorHAnsi"/>
            <w:sz w:val="24"/>
            <w:szCs w:val="24"/>
          </w:rPr>
          <m:t>r</m:t>
        </m:r>
      </m:oMath>
      <w:r w:rsidRPr="008862A3">
        <w:rPr>
          <w:rFonts w:eastAsiaTheme="minorEastAsia" w:cstheme="minorHAnsi"/>
          <w:sz w:val="24"/>
          <w:szCs w:val="24"/>
        </w:rPr>
        <w:t xml:space="preserve"> = 2%, then someone aged </w:t>
      </w:r>
      <m:oMath>
        <m:r>
          <w:rPr>
            <w:rFonts w:ascii="Cambria Math" w:eastAsiaTheme="minorEastAsia" w:hAnsi="Cambria Math" w:cstheme="minorHAnsi"/>
            <w:sz w:val="24"/>
            <w:szCs w:val="24"/>
          </w:rPr>
          <m:t>x</m:t>
        </m:r>
      </m:oMath>
      <w:r w:rsidRPr="008862A3">
        <w:rPr>
          <w:rFonts w:eastAsiaTheme="minorEastAsia" w:cstheme="minorHAnsi"/>
          <w:sz w:val="24"/>
          <w:szCs w:val="24"/>
        </w:rPr>
        <w:t xml:space="preserve"> who entered 3 years ago would have received 3 improvements by </w:t>
      </w:r>
      <w:proofErr w:type="gramStart"/>
      <w:r w:rsidRPr="008862A3">
        <w:rPr>
          <w:rFonts w:eastAsiaTheme="minorEastAsia" w:cstheme="minorHAnsi"/>
          <w:sz w:val="24"/>
          <w:szCs w:val="24"/>
        </w:rPr>
        <w:t xml:space="preserve">age </w:t>
      </w:r>
      <w:proofErr w:type="gramEnd"/>
      <m:oMath>
        <m:r>
          <w:rPr>
            <w:rFonts w:ascii="Cambria Math" w:eastAsiaTheme="minorEastAsia" w:hAnsi="Cambria Math" w:cstheme="minorHAnsi"/>
            <w:sz w:val="24"/>
            <w:szCs w:val="24"/>
          </w:rPr>
          <m:t>x+3</m:t>
        </m:r>
      </m:oMath>
      <w:r w:rsidRPr="008862A3">
        <w:rPr>
          <w:rFonts w:eastAsiaTheme="minorEastAsia" w:cstheme="minorHAnsi"/>
          <w:sz w:val="24"/>
          <w:szCs w:val="24"/>
        </w:rPr>
        <w:t xml:space="preserve">. So the mortality rate at this age including the improvements would </w:t>
      </w:r>
      <w:proofErr w:type="gramStart"/>
      <w:r w:rsidRPr="008862A3">
        <w:rPr>
          <w:rFonts w:eastAsiaTheme="minorEastAsia" w:cstheme="minorHAnsi"/>
          <w:sz w:val="24"/>
          <w:szCs w:val="24"/>
        </w:rPr>
        <w:t xml:space="preserve">be </w:t>
      </w:r>
      <w:proofErr w:type="gramEnd"/>
      <m:oMath>
        <m:sSub>
          <m:sSubPr>
            <m:ctrlPr>
              <w:rPr>
                <w:rFonts w:ascii="Cambria Math" w:hAnsi="Cambria Math" w:cstheme="minorHAnsi"/>
                <w:i/>
                <w:sz w:val="24"/>
                <w:szCs w:val="24"/>
              </w:rPr>
            </m:ctrlPr>
          </m:sSubPr>
          <m:e>
            <m:r>
              <w:rPr>
                <w:rFonts w:ascii="Cambria Math" w:hAnsi="Cambria Math" w:cstheme="minorHAnsi"/>
                <w:sz w:val="24"/>
                <w:szCs w:val="24"/>
              </w:rPr>
              <m:t>q</m:t>
            </m:r>
          </m:e>
          <m:sub>
            <m:r>
              <w:rPr>
                <w:rFonts w:ascii="Cambria Math" w:hAnsi="Cambria Math" w:cstheme="minorHAnsi"/>
                <w:sz w:val="24"/>
                <w:szCs w:val="24"/>
              </w:rPr>
              <m:t>x+3</m:t>
            </m:r>
          </m:sub>
        </m:sSub>
        <m:r>
          <w:rPr>
            <w:rFonts w:ascii="Cambria Math" w:hAnsi="Cambria Math" w:cstheme="minorHAnsi"/>
            <w:sz w:val="24"/>
            <w:szCs w:val="24"/>
          </w:rPr>
          <m:t>×</m:t>
        </m:r>
        <m:sSup>
          <m:sSupPr>
            <m:ctrlPr>
              <w:rPr>
                <w:rFonts w:ascii="Cambria Math" w:hAnsi="Cambria Math" w:cstheme="minorHAnsi"/>
                <w:i/>
                <w:sz w:val="24"/>
                <w:szCs w:val="24"/>
              </w:rPr>
            </m:ctrlPr>
          </m:sSupPr>
          <m:e>
            <m:d>
              <m:dPr>
                <m:ctrlPr>
                  <w:rPr>
                    <w:rFonts w:ascii="Cambria Math" w:hAnsi="Cambria Math" w:cstheme="minorHAnsi"/>
                    <w:i/>
                    <w:sz w:val="24"/>
                    <w:szCs w:val="24"/>
                  </w:rPr>
                </m:ctrlPr>
              </m:dPr>
              <m:e>
                <m:r>
                  <w:rPr>
                    <w:rFonts w:ascii="Cambria Math" w:hAnsi="Cambria Math" w:cstheme="minorHAnsi"/>
                    <w:sz w:val="24"/>
                    <w:szCs w:val="24"/>
                  </w:rPr>
                  <m:t>1-r</m:t>
                </m:r>
              </m:e>
            </m:d>
          </m:e>
          <m:sup>
            <m:r>
              <w:rPr>
                <w:rFonts w:ascii="Cambria Math" w:hAnsi="Cambria Math" w:cstheme="minorHAnsi"/>
                <w:sz w:val="24"/>
                <w:szCs w:val="24"/>
              </w:rPr>
              <m:t>3</m:t>
            </m:r>
          </m:sup>
        </m:sSup>
      </m:oMath>
      <w:r w:rsidRPr="008862A3">
        <w:rPr>
          <w:rFonts w:eastAsiaTheme="minorEastAsia" w:cstheme="minorHAnsi"/>
          <w:sz w:val="24"/>
          <w:szCs w:val="24"/>
        </w:rPr>
        <w:t xml:space="preserve">. The rate </w:t>
      </w:r>
      <m:oMath>
        <m:r>
          <w:rPr>
            <w:rFonts w:ascii="Cambria Math" w:hAnsi="Cambria Math" w:cstheme="minorHAnsi"/>
            <w:sz w:val="24"/>
            <w:szCs w:val="24"/>
          </w:rPr>
          <m:t>r</m:t>
        </m:r>
      </m:oMath>
      <w:r w:rsidRPr="008862A3">
        <w:rPr>
          <w:rFonts w:eastAsiaTheme="minorEastAsia" w:cstheme="minorHAnsi"/>
          <w:sz w:val="24"/>
          <w:szCs w:val="24"/>
        </w:rPr>
        <w:t xml:space="preserve"> could allow for male or female, year of birth and other factors if need be.  The q-rate is read from a normal mortality table.</w:t>
      </w:r>
    </w:p>
    <w:p w:rsidR="00182692" w:rsidRPr="008862A3" w:rsidRDefault="0030423E" w:rsidP="0037647B">
      <w:pPr>
        <w:jc w:val="both"/>
        <w:rPr>
          <w:rFonts w:eastAsiaTheme="minorEastAsia" w:cstheme="minorHAnsi"/>
          <w:sz w:val="24"/>
          <w:szCs w:val="24"/>
        </w:rPr>
      </w:pPr>
      <w:r w:rsidRPr="008862A3">
        <w:rPr>
          <w:rFonts w:cstheme="minorHAnsi"/>
          <w:sz w:val="24"/>
          <w:szCs w:val="24"/>
        </w:rPr>
        <w:t xml:space="preserve">Cox and Lin (2004) applies the improvement to the survival probability </w:t>
      </w:r>
      <w:proofErr w:type="gramStart"/>
      <w:r w:rsidRPr="008862A3">
        <w:rPr>
          <w:rFonts w:cstheme="minorHAnsi"/>
          <w:sz w:val="24"/>
          <w:szCs w:val="24"/>
        </w:rPr>
        <w:t xml:space="preserve">as </w:t>
      </w:r>
      <w:proofErr w:type="gramEnd"/>
      <m:oMath>
        <m:sSup>
          <m:sSupPr>
            <m:ctrlPr>
              <w:rPr>
                <w:rFonts w:ascii="Cambria Math" w:hAnsi="Cambria Math" w:cstheme="minorHAnsi"/>
                <w:i/>
                <w:sz w:val="24"/>
                <w:szCs w:val="24"/>
              </w:rPr>
            </m:ctrlPr>
          </m:sSupPr>
          <m:e>
            <m:d>
              <m:dPr>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x+3</m:t>
                    </m:r>
                  </m:sub>
                </m:sSub>
              </m:e>
            </m:d>
          </m:e>
          <m:sup>
            <m:r>
              <w:rPr>
                <w:rFonts w:ascii="Cambria Math" w:hAnsi="Cambria Math" w:cstheme="minorHAnsi"/>
                <w:sz w:val="24"/>
                <w:szCs w:val="24"/>
              </w:rPr>
              <m:t>3∙(1-r')</m:t>
            </m:r>
          </m:sup>
        </m:sSup>
      </m:oMath>
      <w:r w:rsidRPr="008862A3">
        <w:rPr>
          <w:rFonts w:eastAsiaTheme="minorEastAsia" w:cstheme="minorHAnsi"/>
          <w:sz w:val="24"/>
          <w:szCs w:val="24"/>
        </w:rPr>
        <w:t xml:space="preserve">, where </w:t>
      </w:r>
      <w:r w:rsidRPr="008862A3">
        <w:rPr>
          <w:rFonts w:eastAsiaTheme="minorEastAsia" w:cstheme="minorHAnsi"/>
          <w:i/>
          <w:sz w:val="24"/>
          <w:szCs w:val="24"/>
        </w:rPr>
        <w:t>r ’</w:t>
      </w:r>
      <w:r w:rsidRPr="008862A3">
        <w:rPr>
          <w:rFonts w:eastAsiaTheme="minorEastAsia" w:cstheme="minorHAnsi"/>
          <w:sz w:val="24"/>
          <w:szCs w:val="24"/>
        </w:rPr>
        <w:t xml:space="preserve"> is the improvement rate equivalent to </w:t>
      </w:r>
      <m:oMath>
        <m:r>
          <w:rPr>
            <w:rFonts w:ascii="Cambria Math" w:hAnsi="Cambria Math" w:cstheme="minorHAnsi"/>
            <w:sz w:val="24"/>
            <w:szCs w:val="24"/>
          </w:rPr>
          <m:t>r</m:t>
        </m:r>
      </m:oMath>
      <w:r w:rsidRPr="008862A3">
        <w:rPr>
          <w:rFonts w:eastAsiaTheme="minorEastAsia" w:cstheme="minorHAnsi"/>
          <w:sz w:val="24"/>
          <w:szCs w:val="24"/>
        </w:rPr>
        <w:t xml:space="preserve"> applied on the </w:t>
      </w:r>
      <m:oMath>
        <m:r>
          <w:rPr>
            <w:rFonts w:ascii="Cambria Math" w:eastAsiaTheme="minorEastAsia" w:hAnsi="Cambria Math" w:cstheme="minorHAnsi"/>
            <w:sz w:val="24"/>
            <w:szCs w:val="24"/>
          </w:rPr>
          <m:t>q</m:t>
        </m:r>
      </m:oMath>
      <w:r w:rsidRPr="008862A3">
        <w:rPr>
          <w:rFonts w:eastAsiaTheme="minorEastAsia" w:cstheme="minorHAnsi"/>
          <w:sz w:val="24"/>
          <w:szCs w:val="24"/>
        </w:rPr>
        <w:t>-rate above.</w:t>
      </w:r>
    </w:p>
    <w:p w:rsidR="0030423E" w:rsidRPr="008862A3" w:rsidRDefault="0030423E" w:rsidP="0037647B">
      <w:pPr>
        <w:jc w:val="both"/>
        <w:rPr>
          <w:rFonts w:eastAsiaTheme="minorEastAsia" w:cstheme="minorHAnsi"/>
          <w:sz w:val="24"/>
          <w:szCs w:val="24"/>
        </w:rPr>
      </w:pPr>
      <w:r w:rsidRPr="008862A3">
        <w:rPr>
          <w:rFonts w:eastAsiaTheme="minorEastAsia" w:cstheme="minorHAnsi"/>
          <w:sz w:val="24"/>
          <w:szCs w:val="24"/>
        </w:rPr>
        <w:t xml:space="preserve">In this paper the method applied is a conversion of the </w:t>
      </w:r>
      <m:oMath>
        <m:r>
          <w:rPr>
            <w:rFonts w:ascii="Cambria Math" w:hAnsi="Cambria Math" w:cstheme="minorHAnsi"/>
            <w:sz w:val="24"/>
            <w:szCs w:val="24"/>
          </w:rPr>
          <m:t>r</m:t>
        </m:r>
      </m:oMath>
      <w:r w:rsidRPr="008862A3">
        <w:rPr>
          <w:rFonts w:eastAsiaTheme="minorEastAsia" w:cstheme="minorHAnsi"/>
          <w:sz w:val="24"/>
          <w:szCs w:val="24"/>
        </w:rPr>
        <w:t xml:space="preserve"> applied on the q-rate. </w:t>
      </w:r>
      <w:proofErr w:type="gramStart"/>
      <w:r w:rsidRPr="008862A3">
        <w:rPr>
          <w:rFonts w:eastAsiaTheme="minorEastAsia" w:cstheme="minorHAnsi"/>
          <w:sz w:val="24"/>
          <w:szCs w:val="24"/>
        </w:rPr>
        <w:t xml:space="preserve">The </w:t>
      </w:r>
      <m:oMath>
        <m:sSup>
          <m:sSupPr>
            <m:ctrlPr>
              <w:rPr>
                <w:rFonts w:ascii="Cambria Math" w:hAnsi="Cambria Math" w:cstheme="minorHAnsi"/>
                <w:i/>
                <w:sz w:val="24"/>
                <w:szCs w:val="24"/>
              </w:rPr>
            </m:ctrlPr>
          </m:sSupPr>
          <m:e>
            <m:d>
              <m:dPr>
                <m:ctrlPr>
                  <w:rPr>
                    <w:rFonts w:ascii="Cambria Math" w:hAnsi="Cambria Math" w:cstheme="minorHAnsi"/>
                    <w:i/>
                    <w:sz w:val="24"/>
                    <w:szCs w:val="24"/>
                  </w:rPr>
                </m:ctrlPr>
              </m:dPr>
              <m:e>
                <m:r>
                  <w:rPr>
                    <w:rFonts w:ascii="Cambria Math" w:hAnsi="Cambria Math" w:cstheme="minorHAnsi"/>
                    <w:sz w:val="24"/>
                    <w:szCs w:val="24"/>
                  </w:rPr>
                  <m:t>1-r</m:t>
                </m:r>
              </m:e>
            </m:d>
          </m:e>
          <m:sup>
            <m:r>
              <w:rPr>
                <w:rFonts w:ascii="Cambria Math" w:hAnsi="Cambria Math" w:cstheme="minorHAnsi"/>
                <w:sz w:val="24"/>
                <w:szCs w:val="24"/>
              </w:rPr>
              <m:t>3</m:t>
            </m:r>
          </m:sup>
        </m:sSup>
      </m:oMath>
      <w:r w:rsidRPr="008862A3">
        <w:rPr>
          <w:rFonts w:eastAsiaTheme="minorEastAsia" w:cstheme="minorHAnsi"/>
          <w:sz w:val="24"/>
          <w:szCs w:val="24"/>
        </w:rPr>
        <w:t xml:space="preserve"> reminds</w:t>
      </w:r>
      <w:proofErr w:type="gramEnd"/>
      <w:r w:rsidRPr="008862A3">
        <w:rPr>
          <w:rFonts w:eastAsiaTheme="minorEastAsia" w:cstheme="minorHAnsi"/>
          <w:sz w:val="24"/>
          <w:szCs w:val="24"/>
        </w:rPr>
        <w:t xml:space="preserve"> us of an interest rate, so we use the known result to convert it. Let the force of improvement </w:t>
      </w:r>
      <w:proofErr w:type="gramStart"/>
      <w:r w:rsidRPr="008862A3">
        <w:rPr>
          <w:rFonts w:eastAsiaTheme="minorEastAsia" w:cstheme="minorHAnsi"/>
          <w:sz w:val="24"/>
          <w:szCs w:val="24"/>
        </w:rPr>
        <w:t xml:space="preserve">be </w:t>
      </w:r>
      <w:proofErr w:type="gramEnd"/>
      <m:oMath>
        <m:acc>
          <m:accPr>
            <m:chr m:val="̅"/>
            <m:ctrlPr>
              <w:rPr>
                <w:rFonts w:ascii="Cambria Math" w:hAnsi="Cambria Math" w:cstheme="minorHAnsi"/>
                <w:i/>
                <w:sz w:val="24"/>
                <w:szCs w:val="24"/>
              </w:rPr>
            </m:ctrlPr>
          </m:accPr>
          <m:e>
            <m:r>
              <w:rPr>
                <w:rFonts w:ascii="Cambria Math" w:hAnsi="Cambria Math" w:cstheme="minorHAnsi"/>
                <w:sz w:val="24"/>
                <w:szCs w:val="24"/>
              </w:rPr>
              <m:t>r</m:t>
            </m:r>
          </m:e>
        </m:acc>
      </m:oMath>
      <w:r w:rsidRPr="008862A3">
        <w:rPr>
          <w:rFonts w:eastAsiaTheme="minorEastAsia" w:cstheme="minorHAnsi"/>
          <w:sz w:val="24"/>
          <w:szCs w:val="24"/>
        </w:rPr>
        <w:t>, then</w:t>
      </w:r>
    </w:p>
    <w:p w:rsidR="0030423E" w:rsidRPr="008862A3" w:rsidRDefault="00B51DB5" w:rsidP="00001F76">
      <w:pPr>
        <w:jc w:val="right"/>
        <w:rPr>
          <w:rFonts w:eastAsiaTheme="minorEastAsia" w:cstheme="minorHAnsi"/>
          <w:sz w:val="24"/>
          <w:szCs w:val="24"/>
        </w:rPr>
      </w:pPr>
      <m:oMath>
        <m:sSup>
          <m:sSupPr>
            <m:ctrlPr>
              <w:rPr>
                <w:rFonts w:ascii="Cambria Math" w:hAnsi="Cambria Math" w:cstheme="minorHAnsi"/>
                <w:i/>
                <w:sz w:val="24"/>
                <w:szCs w:val="24"/>
              </w:rPr>
            </m:ctrlPr>
          </m:sSupPr>
          <m:e>
            <m:d>
              <m:dPr>
                <m:ctrlPr>
                  <w:rPr>
                    <w:rFonts w:ascii="Cambria Math" w:hAnsi="Cambria Math" w:cstheme="minorHAnsi"/>
                    <w:i/>
                    <w:sz w:val="24"/>
                    <w:szCs w:val="24"/>
                  </w:rPr>
                </m:ctrlPr>
              </m:dPr>
              <m:e>
                <m:r>
                  <w:rPr>
                    <w:rFonts w:ascii="Cambria Math" w:hAnsi="Cambria Math" w:cstheme="minorHAnsi"/>
                    <w:sz w:val="24"/>
                    <w:szCs w:val="24"/>
                  </w:rPr>
                  <m:t>1-r</m:t>
                </m:r>
              </m:e>
            </m:d>
          </m:e>
          <m:sup>
            <m:r>
              <w:rPr>
                <w:rFonts w:ascii="Cambria Math" w:hAnsi="Cambria Math" w:cstheme="minorHAnsi"/>
                <w:sz w:val="24"/>
                <w:szCs w:val="24"/>
              </w:rPr>
              <m:t>n</m:t>
            </m:r>
          </m:sup>
        </m:sSup>
        <m:r>
          <w:rPr>
            <w:rFonts w:ascii="Cambria Math" w:hAnsi="Cambria Math" w:cstheme="minorHAnsi"/>
            <w:sz w:val="24"/>
            <w:szCs w:val="24"/>
          </w:rPr>
          <m:t>=</m:t>
        </m:r>
        <m:sSup>
          <m:sSupPr>
            <m:ctrlPr>
              <w:rPr>
                <w:rFonts w:ascii="Cambria Math" w:hAnsi="Cambria Math" w:cstheme="minorHAnsi"/>
                <w:sz w:val="24"/>
                <w:szCs w:val="24"/>
              </w:rPr>
            </m:ctrlPr>
          </m:sSupPr>
          <m:e>
            <m:r>
              <w:rPr>
                <w:rFonts w:ascii="Cambria Math" w:eastAsiaTheme="minorEastAsia" w:hAnsi="Cambria Math" w:cstheme="minorHAnsi"/>
                <w:sz w:val="24"/>
                <w:szCs w:val="24"/>
              </w:rPr>
              <m:t>e</m:t>
            </m:r>
          </m:e>
          <m:sup>
            <m:r>
              <w:rPr>
                <w:rFonts w:ascii="Cambria Math" w:hAnsi="Cambria Math" w:cstheme="minorHAnsi"/>
                <w:sz w:val="24"/>
                <w:szCs w:val="24"/>
              </w:rPr>
              <m:t>-n∙</m:t>
            </m:r>
            <m:r>
              <m:rPr>
                <m:sty m:val="p"/>
              </m:rPr>
              <w:rPr>
                <w:rFonts w:ascii="Cambria Math" w:eastAsiaTheme="minorEastAsia" w:hAnsi="Cambria Math" w:cstheme="minorHAnsi"/>
                <w:sz w:val="24"/>
                <w:szCs w:val="24"/>
              </w:rPr>
              <m:t xml:space="preserve"> </m:t>
            </m:r>
            <m:acc>
              <m:accPr>
                <m:chr m:val="̅"/>
                <m:ctrlPr>
                  <w:rPr>
                    <w:rFonts w:ascii="Cambria Math" w:hAnsi="Cambria Math" w:cstheme="minorHAnsi"/>
                    <w:i/>
                    <w:sz w:val="24"/>
                    <w:szCs w:val="24"/>
                  </w:rPr>
                </m:ctrlPr>
              </m:accPr>
              <m:e>
                <m:r>
                  <w:rPr>
                    <w:rFonts w:ascii="Cambria Math" w:hAnsi="Cambria Math" w:cstheme="minorHAnsi"/>
                    <w:sz w:val="24"/>
                    <w:szCs w:val="24"/>
                  </w:rPr>
                  <m:t>r</m:t>
                </m:r>
              </m:e>
            </m:acc>
          </m:sup>
        </m:sSup>
      </m:oMath>
      <w:r w:rsidR="00001F76">
        <w:rPr>
          <w:rFonts w:eastAsiaTheme="minorEastAsia" w:cstheme="minorHAnsi"/>
          <w:sz w:val="24"/>
          <w:szCs w:val="24"/>
        </w:rPr>
        <w:tab/>
      </w:r>
      <w:proofErr w:type="gramStart"/>
      <w:r w:rsidR="00001F76">
        <w:rPr>
          <w:rFonts w:eastAsiaTheme="minorEastAsia" w:cstheme="minorHAnsi"/>
          <w:sz w:val="24"/>
          <w:szCs w:val="24"/>
        </w:rPr>
        <w:t>o</w:t>
      </w:r>
      <w:r w:rsidR="00001F76" w:rsidRPr="008862A3">
        <w:rPr>
          <w:rFonts w:eastAsiaTheme="minorEastAsia" w:cstheme="minorHAnsi"/>
          <w:sz w:val="24"/>
          <w:szCs w:val="24"/>
        </w:rPr>
        <w:t>r</w:t>
      </w:r>
      <w:proofErr w:type="gramEnd"/>
      <w:r w:rsidR="00001F76" w:rsidRPr="008862A3">
        <w:rPr>
          <w:rFonts w:eastAsiaTheme="minorEastAsia" w:cstheme="minorHAnsi"/>
          <w:sz w:val="24"/>
          <w:szCs w:val="24"/>
        </w:rPr>
        <w:t xml:space="preserve"> </w:t>
      </w:r>
      <w:r w:rsidR="00001F76">
        <w:rPr>
          <w:rFonts w:eastAsiaTheme="minorEastAsia" w:cstheme="minorHAnsi"/>
          <w:sz w:val="24"/>
          <w:szCs w:val="24"/>
        </w:rPr>
        <w:tab/>
      </w:r>
      <m:oMath>
        <m:acc>
          <m:accPr>
            <m:chr m:val="̅"/>
            <m:ctrlPr>
              <w:rPr>
                <w:rFonts w:ascii="Cambria Math" w:hAnsi="Cambria Math" w:cstheme="minorHAnsi"/>
                <w:i/>
                <w:sz w:val="24"/>
                <w:szCs w:val="24"/>
              </w:rPr>
            </m:ctrlPr>
          </m:accPr>
          <m:e>
            <m:r>
              <w:rPr>
                <w:rFonts w:ascii="Cambria Math" w:hAnsi="Cambria Math" w:cstheme="minorHAnsi"/>
                <w:sz w:val="24"/>
                <w:szCs w:val="24"/>
              </w:rPr>
              <m:t>r</m:t>
            </m:r>
          </m:e>
        </m:acc>
        <m:r>
          <w:rPr>
            <w:rFonts w:ascii="Cambria Math" w:hAnsi="Cambria Math" w:cstheme="minorHAnsi"/>
            <w:sz w:val="24"/>
            <w:szCs w:val="24"/>
          </w:rPr>
          <m:t>=-ln</m:t>
        </m:r>
        <m:d>
          <m:dPr>
            <m:ctrlPr>
              <w:rPr>
                <w:rFonts w:ascii="Cambria Math" w:hAnsi="Cambria Math" w:cstheme="minorHAnsi"/>
                <w:i/>
                <w:sz w:val="24"/>
                <w:szCs w:val="24"/>
              </w:rPr>
            </m:ctrlPr>
          </m:dPr>
          <m:e>
            <m:r>
              <w:rPr>
                <w:rFonts w:ascii="Cambria Math" w:hAnsi="Cambria Math" w:cstheme="minorHAnsi"/>
                <w:sz w:val="24"/>
                <w:szCs w:val="24"/>
              </w:rPr>
              <m:t>1-r</m:t>
            </m:r>
          </m:e>
        </m:d>
      </m:oMath>
      <w:r w:rsidR="00001F76">
        <w:rPr>
          <w:rFonts w:eastAsiaTheme="minorEastAsia" w:cstheme="minorHAnsi"/>
          <w:sz w:val="24"/>
          <w:szCs w:val="24"/>
        </w:rPr>
        <w:tab/>
      </w:r>
      <w:r w:rsidR="00001F76">
        <w:rPr>
          <w:rFonts w:eastAsiaTheme="minorEastAsia" w:cstheme="minorHAnsi"/>
          <w:sz w:val="24"/>
          <w:szCs w:val="24"/>
        </w:rPr>
        <w:tab/>
      </w:r>
      <w:r w:rsidR="00001F76">
        <w:rPr>
          <w:rFonts w:eastAsiaTheme="minorEastAsia" w:cstheme="minorHAnsi"/>
          <w:sz w:val="24"/>
          <w:szCs w:val="24"/>
        </w:rPr>
        <w:tab/>
      </w:r>
      <w:r w:rsidR="00001F76">
        <w:rPr>
          <w:rFonts w:eastAsiaTheme="minorEastAsia" w:cstheme="minorHAnsi"/>
          <w:sz w:val="24"/>
          <w:szCs w:val="24"/>
        </w:rPr>
        <w:tab/>
        <w:t>(3.1)</w:t>
      </w:r>
    </w:p>
    <w:p w:rsidR="009D672B" w:rsidRPr="008862A3" w:rsidRDefault="009D672B" w:rsidP="0037647B">
      <w:pPr>
        <w:jc w:val="both"/>
        <w:rPr>
          <w:rFonts w:eastAsiaTheme="minorEastAsia" w:cstheme="minorHAnsi"/>
          <w:sz w:val="24"/>
          <w:szCs w:val="24"/>
        </w:rPr>
      </w:pPr>
      <w:r w:rsidRPr="008862A3">
        <w:rPr>
          <w:rFonts w:eastAsiaTheme="minorEastAsia" w:cstheme="minorHAnsi"/>
          <w:sz w:val="24"/>
          <w:szCs w:val="24"/>
        </w:rPr>
        <w:t xml:space="preserve">But since it is an improvement, </w:t>
      </w:r>
      <m:oMath>
        <m:acc>
          <m:accPr>
            <m:chr m:val="̅"/>
            <m:ctrlPr>
              <w:rPr>
                <w:rFonts w:ascii="Cambria Math" w:hAnsi="Cambria Math" w:cstheme="minorHAnsi"/>
                <w:i/>
                <w:sz w:val="24"/>
                <w:szCs w:val="24"/>
              </w:rPr>
            </m:ctrlPr>
          </m:accPr>
          <m:e>
            <m:r>
              <w:rPr>
                <w:rFonts w:ascii="Cambria Math" w:hAnsi="Cambria Math" w:cstheme="minorHAnsi"/>
                <w:sz w:val="24"/>
                <w:szCs w:val="24"/>
              </w:rPr>
              <m:t>r</m:t>
            </m:r>
          </m:e>
        </m:acc>
      </m:oMath>
      <w:r w:rsidRPr="008862A3">
        <w:rPr>
          <w:rFonts w:eastAsiaTheme="minorEastAsia" w:cstheme="minorHAnsi"/>
          <w:sz w:val="24"/>
          <w:szCs w:val="24"/>
        </w:rPr>
        <w:t xml:space="preserve"> will typically be negative if applied to a survival probability as in the Cox and Lin application.</w:t>
      </w:r>
    </w:p>
    <w:p w:rsidR="00B52BA8" w:rsidRPr="008862A3" w:rsidRDefault="00B52BA8" w:rsidP="0037647B">
      <w:pPr>
        <w:jc w:val="both"/>
        <w:rPr>
          <w:rFonts w:cstheme="minorHAnsi"/>
          <w:sz w:val="24"/>
          <w:szCs w:val="24"/>
        </w:rPr>
      </w:pPr>
      <w:r w:rsidRPr="008862A3">
        <w:rPr>
          <w:rFonts w:cstheme="minorHAnsi"/>
          <w:sz w:val="24"/>
          <w:szCs w:val="24"/>
        </w:rPr>
        <w:t xml:space="preserve">We know that </w:t>
      </w:r>
    </w:p>
    <w:p w:rsidR="0030423E" w:rsidRPr="008862A3" w:rsidRDefault="00B51DB5" w:rsidP="00001F76">
      <w:pPr>
        <w:jc w:val="right"/>
        <w:rPr>
          <w:rFonts w:eastAsiaTheme="minorEastAsia" w:cstheme="minorHAnsi"/>
          <w:sz w:val="24"/>
          <w:szCs w:val="24"/>
        </w:rPr>
      </w:pPr>
      <m:oMath>
        <m:sSub>
          <m:sSubPr>
            <m:ctrlPr>
              <w:rPr>
                <w:rFonts w:ascii="Cambria Math" w:hAnsi="Cambria Math" w:cstheme="minorHAnsi"/>
                <w:i/>
                <w:sz w:val="24"/>
                <w:szCs w:val="24"/>
              </w:rPr>
            </m:ctrlPr>
          </m:sSubPr>
          <m:e/>
          <m:sub>
            <m:r>
              <w:rPr>
                <w:rFonts w:ascii="Cambria Math" w:hAnsi="Cambria Math" w:cstheme="minorHAnsi"/>
                <w:sz w:val="24"/>
                <w:szCs w:val="24"/>
              </w:rPr>
              <m:t>t</m:t>
            </m:r>
          </m:sub>
        </m:sSub>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x</m:t>
            </m:r>
          </m:sub>
        </m:sSub>
        <m:r>
          <w:rPr>
            <w:rFonts w:ascii="Cambria Math" w:hAnsi="Cambria Math" w:cstheme="minorHAnsi"/>
            <w:sz w:val="24"/>
            <w:szCs w:val="24"/>
          </w:rPr>
          <m:t>=</m:t>
        </m:r>
        <m:sSup>
          <m:sSupPr>
            <m:ctrlPr>
              <w:rPr>
                <w:rFonts w:ascii="Cambria Math" w:hAnsi="Cambria Math" w:cstheme="minorHAnsi"/>
                <w:sz w:val="24"/>
                <w:szCs w:val="24"/>
              </w:rPr>
            </m:ctrlPr>
          </m:sSupPr>
          <m:e>
            <m:r>
              <w:rPr>
                <w:rFonts w:ascii="Cambria Math" w:eastAsiaTheme="minorEastAsia" w:hAnsi="Cambria Math" w:cstheme="minorHAnsi"/>
                <w:sz w:val="24"/>
                <w:szCs w:val="24"/>
              </w:rPr>
              <m:t>e</m:t>
            </m:r>
          </m:e>
          <m:sup>
            <m:r>
              <w:rPr>
                <w:rFonts w:ascii="Cambria Math" w:hAnsi="Cambria Math" w:cstheme="minorHAnsi"/>
                <w:sz w:val="24"/>
                <w:szCs w:val="24"/>
              </w:rPr>
              <m:t>-</m:t>
            </m:r>
            <m:nary>
              <m:naryPr>
                <m:limLoc m:val="subSup"/>
                <m:ctrlPr>
                  <w:rPr>
                    <w:rFonts w:ascii="Cambria Math" w:hAnsi="Cambria Math" w:cstheme="minorHAnsi"/>
                    <w:i/>
                    <w:sz w:val="24"/>
                    <w:szCs w:val="24"/>
                  </w:rPr>
                </m:ctrlPr>
              </m:naryPr>
              <m:sub>
                <m:r>
                  <w:rPr>
                    <w:rFonts w:ascii="Cambria Math" w:hAnsi="Cambria Math" w:cstheme="minorHAnsi"/>
                    <w:sz w:val="24"/>
                    <w:szCs w:val="24"/>
                  </w:rPr>
                  <m:t>0</m:t>
                </m:r>
              </m:sub>
              <m:sup>
                <m:r>
                  <w:rPr>
                    <w:rFonts w:ascii="Cambria Math" w:hAnsi="Cambria Math" w:cstheme="minorHAnsi"/>
                    <w:sz w:val="24"/>
                    <w:szCs w:val="24"/>
                  </w:rPr>
                  <m:t>t</m:t>
                </m:r>
              </m:sup>
              <m:e>
                <m:sSub>
                  <m:sSubPr>
                    <m:ctrlPr>
                      <w:rPr>
                        <w:rFonts w:ascii="Cambria Math" w:hAnsi="Cambria Math" w:cstheme="minorHAnsi"/>
                        <w:i/>
                        <w:sz w:val="24"/>
                        <w:szCs w:val="24"/>
                      </w:rPr>
                    </m:ctrlPr>
                  </m:sSubPr>
                  <m:e>
                    <m:r>
                      <w:rPr>
                        <w:rFonts w:ascii="Cambria Math" w:hAnsi="Cambria Math" w:cstheme="minorHAnsi"/>
                        <w:sz w:val="24"/>
                        <w:szCs w:val="24"/>
                      </w:rPr>
                      <m:t>μ</m:t>
                    </m:r>
                  </m:e>
                  <m:sub>
                    <m:r>
                      <w:rPr>
                        <w:rFonts w:ascii="Cambria Math" w:hAnsi="Cambria Math" w:cstheme="minorHAnsi"/>
                        <w:sz w:val="24"/>
                        <w:szCs w:val="24"/>
                      </w:rPr>
                      <m:t>x+s</m:t>
                    </m:r>
                  </m:sub>
                </m:sSub>
                <m:r>
                  <w:rPr>
                    <w:rFonts w:ascii="Cambria Math" w:hAnsi="Cambria Math" w:cstheme="minorHAnsi"/>
                    <w:sz w:val="24"/>
                    <w:szCs w:val="24"/>
                  </w:rPr>
                  <m:t>ds</m:t>
                </m:r>
              </m:e>
            </m:nary>
          </m:sup>
        </m:sSup>
      </m:oMath>
      <w:r w:rsidR="00001F76">
        <w:rPr>
          <w:rFonts w:eastAsiaTheme="minorEastAsia" w:cstheme="minorHAnsi"/>
          <w:sz w:val="24"/>
          <w:szCs w:val="24"/>
        </w:rPr>
        <w:tab/>
      </w:r>
      <w:r w:rsidR="00001F76">
        <w:rPr>
          <w:rFonts w:eastAsiaTheme="minorEastAsia" w:cstheme="minorHAnsi"/>
          <w:sz w:val="24"/>
          <w:szCs w:val="24"/>
        </w:rPr>
        <w:tab/>
      </w:r>
      <w:r w:rsidR="00001F76">
        <w:rPr>
          <w:rFonts w:eastAsiaTheme="minorEastAsia" w:cstheme="minorHAnsi"/>
          <w:sz w:val="24"/>
          <w:szCs w:val="24"/>
        </w:rPr>
        <w:tab/>
      </w:r>
      <w:r w:rsidR="00001F76">
        <w:rPr>
          <w:rFonts w:eastAsiaTheme="minorEastAsia" w:cstheme="minorHAnsi"/>
          <w:sz w:val="24"/>
          <w:szCs w:val="24"/>
        </w:rPr>
        <w:tab/>
      </w:r>
      <w:r w:rsidR="00001F76">
        <w:rPr>
          <w:rFonts w:eastAsiaTheme="minorEastAsia" w:cstheme="minorHAnsi"/>
          <w:sz w:val="24"/>
          <w:szCs w:val="24"/>
        </w:rPr>
        <w:tab/>
      </w:r>
      <w:r w:rsidR="00001F76">
        <w:rPr>
          <w:rFonts w:eastAsiaTheme="minorEastAsia" w:cstheme="minorHAnsi"/>
          <w:sz w:val="24"/>
          <w:szCs w:val="24"/>
        </w:rPr>
        <w:tab/>
      </w:r>
      <w:r w:rsidR="00001F76">
        <w:rPr>
          <w:rFonts w:eastAsiaTheme="minorEastAsia" w:cstheme="minorHAnsi"/>
          <w:sz w:val="24"/>
          <w:szCs w:val="24"/>
        </w:rPr>
        <w:tab/>
      </w:r>
      <w:r w:rsidR="00001F76">
        <w:rPr>
          <w:rFonts w:eastAsiaTheme="minorEastAsia" w:cstheme="minorHAnsi"/>
          <w:sz w:val="24"/>
          <w:szCs w:val="24"/>
        </w:rPr>
        <w:tab/>
        <w:t>(3.2)</w:t>
      </w:r>
    </w:p>
    <w:p w:rsidR="0037647B" w:rsidRDefault="00B52BA8" w:rsidP="0037647B">
      <w:pPr>
        <w:jc w:val="both"/>
        <w:rPr>
          <w:rFonts w:eastAsiaTheme="minorEastAsia" w:cstheme="minorHAnsi"/>
          <w:sz w:val="24"/>
          <w:szCs w:val="24"/>
        </w:rPr>
      </w:pPr>
      <w:r w:rsidRPr="008862A3">
        <w:rPr>
          <w:rFonts w:eastAsiaTheme="minorEastAsia" w:cstheme="minorHAnsi"/>
          <w:sz w:val="24"/>
          <w:szCs w:val="24"/>
        </w:rPr>
        <w:t>And if we</w:t>
      </w:r>
      <w:r w:rsidR="0037647B">
        <w:rPr>
          <w:rFonts w:eastAsiaTheme="minorEastAsia" w:cstheme="minorHAnsi"/>
          <w:sz w:val="24"/>
          <w:szCs w:val="24"/>
        </w:rPr>
        <w:t xml:space="preserve"> consider a single year </w:t>
      </w:r>
      <w:r w:rsidR="00001F76">
        <w:rPr>
          <w:rFonts w:eastAsiaTheme="minorEastAsia" w:cstheme="minorHAnsi"/>
          <w:sz w:val="24"/>
          <w:szCs w:val="24"/>
        </w:rPr>
        <w:t xml:space="preserve">and assume constant force of mortality, </w:t>
      </w:r>
      <w:r w:rsidR="0037647B">
        <w:rPr>
          <w:rFonts w:eastAsiaTheme="minorEastAsia" w:cstheme="minorHAnsi"/>
          <w:sz w:val="24"/>
          <w:szCs w:val="24"/>
        </w:rPr>
        <w:t>then</w:t>
      </w:r>
    </w:p>
    <w:p w:rsidR="00B52BA8" w:rsidRDefault="00B52BA8" w:rsidP="00001F76">
      <w:pPr>
        <w:jc w:val="right"/>
        <w:rPr>
          <w:rFonts w:eastAsiaTheme="minorEastAsia" w:cstheme="minorHAnsi"/>
          <w:sz w:val="24"/>
          <w:szCs w:val="24"/>
        </w:rPr>
      </w:pPr>
      <m:oMathPara>
        <m:oMath>
          <m:r>
            <m:rPr>
              <m:sty m:val="p"/>
            </m:rPr>
            <w:rPr>
              <w:rFonts w:ascii="Cambria Math" w:hAnsi="Cambria Math" w:cstheme="minorHAnsi"/>
              <w:sz w:val="24"/>
              <w:szCs w:val="24"/>
            </w:rPr>
            <w:br/>
          </m:r>
          <m:sSub>
            <m:sSubPr>
              <m:ctrlPr>
                <w:rPr>
                  <w:rFonts w:ascii="Cambria Math" w:hAnsi="Cambria Math" w:cstheme="minorHAnsi"/>
                  <w:i/>
                  <w:sz w:val="24"/>
                  <w:szCs w:val="24"/>
                </w:rPr>
              </m:ctrlPr>
            </m:sSubPr>
            <m:e/>
            <m:sub>
              <m:r>
                <w:rPr>
                  <w:rFonts w:ascii="Cambria Math" w:hAnsi="Cambria Math" w:cstheme="minorHAnsi"/>
                  <w:sz w:val="24"/>
                  <w:szCs w:val="24"/>
                </w:rPr>
                <m:t>1</m:t>
              </m:r>
            </m:sub>
          </m:sSub>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x</m:t>
              </m:r>
            </m:sub>
          </m:sSub>
          <m:r>
            <w:rPr>
              <w:rFonts w:ascii="Cambria Math" w:hAnsi="Cambria Math" w:cstheme="minorHAnsi"/>
              <w:sz w:val="24"/>
              <w:szCs w:val="24"/>
            </w:rPr>
            <m:t>=</m:t>
          </m:r>
          <m:sSup>
            <m:sSupPr>
              <m:ctrlPr>
                <w:rPr>
                  <w:rFonts w:ascii="Cambria Math" w:hAnsi="Cambria Math" w:cstheme="minorHAnsi"/>
                  <w:sz w:val="24"/>
                  <w:szCs w:val="24"/>
                </w:rPr>
              </m:ctrlPr>
            </m:sSupPr>
            <m:e>
              <m:r>
                <w:rPr>
                  <w:rFonts w:ascii="Cambria Math" w:eastAsiaTheme="minorEastAsia" w:hAnsi="Cambria Math" w:cstheme="minorHAnsi"/>
                  <w:sz w:val="24"/>
                  <w:szCs w:val="24"/>
                </w:rPr>
                <m:t>e</m:t>
              </m:r>
            </m:e>
            <m:sup>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μ</m:t>
                  </m:r>
                </m:e>
                <m:sub>
                  <m:r>
                    <w:rPr>
                      <w:rFonts w:ascii="Cambria Math" w:hAnsi="Cambria Math" w:cstheme="minorHAnsi"/>
                      <w:sz w:val="24"/>
                      <w:szCs w:val="24"/>
                    </w:rPr>
                    <m:t>x</m:t>
                  </m:r>
                </m:sub>
              </m:sSub>
            </m:sup>
          </m:sSup>
        </m:oMath>
      </m:oMathPara>
      <w:r w:rsidR="00001F76">
        <w:rPr>
          <w:rFonts w:eastAsiaTheme="minorEastAsia" w:cstheme="minorHAnsi"/>
          <w:sz w:val="24"/>
          <w:szCs w:val="24"/>
        </w:rPr>
        <w:tab/>
      </w:r>
      <w:r w:rsidR="00001F76">
        <w:rPr>
          <w:rFonts w:eastAsiaTheme="minorEastAsia" w:cstheme="minorHAnsi"/>
          <w:sz w:val="24"/>
          <w:szCs w:val="24"/>
        </w:rPr>
        <w:tab/>
      </w:r>
      <w:r w:rsidR="00001F76">
        <w:rPr>
          <w:rFonts w:eastAsiaTheme="minorEastAsia" w:cstheme="minorHAnsi"/>
          <w:sz w:val="24"/>
          <w:szCs w:val="24"/>
        </w:rPr>
        <w:tab/>
      </w:r>
      <w:r w:rsidR="00001F76">
        <w:rPr>
          <w:rFonts w:eastAsiaTheme="minorEastAsia" w:cstheme="minorHAnsi"/>
          <w:sz w:val="24"/>
          <w:szCs w:val="24"/>
        </w:rPr>
        <w:tab/>
      </w:r>
      <w:r w:rsidR="00001F76">
        <w:rPr>
          <w:rFonts w:eastAsiaTheme="minorEastAsia" w:cstheme="minorHAnsi"/>
          <w:sz w:val="24"/>
          <w:szCs w:val="24"/>
        </w:rPr>
        <w:tab/>
      </w:r>
      <w:r w:rsidR="00001F76">
        <w:rPr>
          <w:rFonts w:eastAsiaTheme="minorEastAsia" w:cstheme="minorHAnsi"/>
          <w:sz w:val="24"/>
          <w:szCs w:val="24"/>
        </w:rPr>
        <w:tab/>
      </w:r>
      <w:r w:rsidR="00001F76">
        <w:rPr>
          <w:rFonts w:eastAsiaTheme="minorEastAsia" w:cstheme="minorHAnsi"/>
          <w:sz w:val="24"/>
          <w:szCs w:val="24"/>
        </w:rPr>
        <w:tab/>
      </w:r>
      <w:r w:rsidR="00001F76">
        <w:rPr>
          <w:rFonts w:eastAsiaTheme="minorEastAsia" w:cstheme="minorHAnsi"/>
          <w:sz w:val="24"/>
          <w:szCs w:val="24"/>
        </w:rPr>
        <w:tab/>
      </w:r>
      <w:r w:rsidR="00001F76">
        <w:rPr>
          <w:rFonts w:eastAsiaTheme="minorEastAsia" w:cstheme="minorHAnsi"/>
          <w:sz w:val="24"/>
          <w:szCs w:val="24"/>
        </w:rPr>
        <w:tab/>
        <w:t>(3.3)</w:t>
      </w:r>
    </w:p>
    <w:p w:rsidR="00B51DB5" w:rsidRDefault="00B51DB5" w:rsidP="00B51DB5">
      <w:pPr>
        <w:jc w:val="both"/>
        <w:rPr>
          <w:rFonts w:eastAsiaTheme="minorEastAsia" w:cstheme="minorHAnsi"/>
          <w:sz w:val="24"/>
          <w:szCs w:val="24"/>
        </w:rPr>
      </w:pPr>
      <w:proofErr w:type="gramStart"/>
      <w:r>
        <w:rPr>
          <w:rFonts w:eastAsiaTheme="minorEastAsia" w:cstheme="minorHAnsi"/>
          <w:sz w:val="24"/>
          <w:szCs w:val="24"/>
        </w:rPr>
        <w:t>and</w:t>
      </w:r>
      <w:proofErr w:type="gramEnd"/>
      <w:r>
        <w:rPr>
          <w:rFonts w:eastAsiaTheme="minorEastAsia" w:cstheme="minorHAnsi"/>
          <w:sz w:val="24"/>
          <w:szCs w:val="24"/>
        </w:rPr>
        <w:t xml:space="preserve"> </w:t>
      </w:r>
    </w:p>
    <w:p w:rsidR="00B51DB5" w:rsidRDefault="00B51DB5" w:rsidP="00B51DB5">
      <w:pPr>
        <w:jc w:val="right"/>
        <w:rPr>
          <w:rFonts w:eastAsiaTheme="minorEastAsia" w:cstheme="minorHAnsi"/>
          <w:sz w:val="24"/>
          <w:szCs w:val="24"/>
        </w:rPr>
      </w:pPr>
      <m:oMath>
        <m:sSub>
          <m:sSubPr>
            <m:ctrlPr>
              <w:rPr>
                <w:rFonts w:ascii="Cambria Math" w:hAnsi="Cambria Math" w:cstheme="minorHAnsi"/>
                <w:i/>
                <w:sz w:val="24"/>
                <w:szCs w:val="24"/>
              </w:rPr>
            </m:ctrlPr>
          </m:sSubPr>
          <m:e/>
          <m:sub>
            <m:r>
              <w:rPr>
                <w:rFonts w:ascii="Cambria Math" w:hAnsi="Cambria Math" w:cstheme="minorHAnsi"/>
                <w:sz w:val="24"/>
                <w:szCs w:val="24"/>
              </w:rPr>
              <m:t>1</m:t>
            </m:r>
          </m:sub>
        </m:sSub>
        <m:sSub>
          <m:sSubPr>
            <m:ctrlPr>
              <w:rPr>
                <w:rFonts w:ascii="Cambria Math" w:hAnsi="Cambria Math" w:cstheme="minorHAnsi"/>
                <w:i/>
                <w:sz w:val="24"/>
                <w:szCs w:val="24"/>
              </w:rPr>
            </m:ctrlPr>
          </m:sSubPr>
          <m:e>
            <m:r>
              <w:rPr>
                <w:rFonts w:ascii="Cambria Math" w:hAnsi="Cambria Math" w:cstheme="minorHAnsi"/>
                <w:sz w:val="24"/>
                <w:szCs w:val="24"/>
              </w:rPr>
              <m:t>q</m:t>
            </m:r>
          </m:e>
          <m:sub>
            <m:r>
              <w:rPr>
                <w:rFonts w:ascii="Cambria Math" w:hAnsi="Cambria Math" w:cstheme="minorHAnsi"/>
                <w:sz w:val="24"/>
                <w:szCs w:val="24"/>
              </w:rPr>
              <m:t>x</m:t>
            </m:r>
          </m:sub>
        </m:sSub>
        <m:r>
          <w:rPr>
            <w:rFonts w:ascii="Cambria Math" w:hAnsi="Cambria Math" w:cstheme="minorHAnsi"/>
            <w:sz w:val="24"/>
            <w:szCs w:val="24"/>
          </w:rPr>
          <m:t>=μ</m:t>
        </m:r>
        <m:sSup>
          <m:sSupPr>
            <m:ctrlPr>
              <w:rPr>
                <w:rFonts w:ascii="Cambria Math" w:hAnsi="Cambria Math" w:cstheme="minorHAnsi"/>
                <w:sz w:val="24"/>
                <w:szCs w:val="24"/>
              </w:rPr>
            </m:ctrlPr>
          </m:sSupPr>
          <m:e>
            <m:r>
              <w:rPr>
                <w:rFonts w:ascii="Cambria Math" w:eastAsiaTheme="minorEastAsia" w:hAnsi="Cambria Math" w:cstheme="minorHAnsi"/>
                <w:sz w:val="24"/>
                <w:szCs w:val="24"/>
              </w:rPr>
              <m:t>e</m:t>
            </m:r>
          </m:e>
          <m:sup>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μ</m:t>
                </m:r>
              </m:e>
              <m:sub>
                <m:r>
                  <w:rPr>
                    <w:rFonts w:ascii="Cambria Math" w:hAnsi="Cambria Math" w:cstheme="minorHAnsi"/>
                    <w:sz w:val="24"/>
                    <w:szCs w:val="24"/>
                  </w:rPr>
                  <m:t>x</m:t>
                </m:r>
              </m:sub>
            </m:sSub>
          </m:sup>
        </m:sSup>
      </m:oMath>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(3.4)</w:t>
      </w:r>
    </w:p>
    <w:p w:rsidR="0037647B" w:rsidRDefault="00B52BA8" w:rsidP="0037647B">
      <w:pPr>
        <w:jc w:val="both"/>
        <w:rPr>
          <w:rFonts w:eastAsiaTheme="minorEastAsia" w:cstheme="minorHAnsi"/>
          <w:sz w:val="24"/>
          <w:szCs w:val="24"/>
        </w:rPr>
      </w:pPr>
      <w:r w:rsidRPr="008862A3">
        <w:rPr>
          <w:rFonts w:eastAsiaTheme="minorEastAsia" w:cstheme="minorHAnsi"/>
          <w:sz w:val="24"/>
          <w:szCs w:val="24"/>
        </w:rPr>
        <w:t>Thus if we have to ap</w:t>
      </w:r>
      <w:r w:rsidR="0037647B">
        <w:rPr>
          <w:rFonts w:eastAsiaTheme="minorEastAsia" w:cstheme="minorHAnsi"/>
          <w:sz w:val="24"/>
          <w:szCs w:val="24"/>
        </w:rPr>
        <w:t>ply the improvement it would be</w:t>
      </w:r>
    </w:p>
    <w:p w:rsidR="00B52BA8" w:rsidRPr="008862A3" w:rsidRDefault="00B52BA8" w:rsidP="00001F76">
      <w:pPr>
        <w:jc w:val="right"/>
        <w:rPr>
          <w:rFonts w:eastAsiaTheme="minorEastAsia" w:cstheme="minorHAnsi"/>
          <w:sz w:val="24"/>
          <w:szCs w:val="24"/>
        </w:rPr>
      </w:pPr>
      <m:oMathPara>
        <m:oMath>
          <m:r>
            <m:rPr>
              <m:sty m:val="p"/>
            </m:rPr>
            <w:rPr>
              <w:rFonts w:ascii="Cambria Math" w:hAnsi="Cambria Math" w:cstheme="minorHAnsi"/>
              <w:sz w:val="24"/>
              <w:szCs w:val="24"/>
            </w:rPr>
            <w:br/>
          </m:r>
          <m:sSub>
            <m:sSubPr>
              <m:ctrlPr>
                <w:rPr>
                  <w:rFonts w:ascii="Cambria Math" w:hAnsi="Cambria Math" w:cstheme="minorHAnsi"/>
                  <w:i/>
                  <w:sz w:val="24"/>
                  <w:szCs w:val="24"/>
                </w:rPr>
              </m:ctrlPr>
            </m:sSubPr>
            <m:e/>
            <m:sub>
              <m:r>
                <w:rPr>
                  <w:rFonts w:ascii="Cambria Math" w:hAnsi="Cambria Math" w:cstheme="minorHAnsi"/>
                  <w:sz w:val="24"/>
                  <w:szCs w:val="24"/>
                </w:rPr>
                <m:t>t</m:t>
              </m:r>
            </m:sub>
          </m:sSub>
          <m:sSubSup>
            <m:sSubSupPr>
              <m:ctrlPr>
                <w:rPr>
                  <w:rFonts w:ascii="Cambria Math" w:hAnsi="Cambria Math" w:cstheme="minorHAnsi"/>
                  <w:i/>
                  <w:sz w:val="24"/>
                  <w:szCs w:val="24"/>
                </w:rPr>
              </m:ctrlPr>
            </m:sSubSupPr>
            <m:e>
              <m:r>
                <w:rPr>
                  <w:rFonts w:ascii="Cambria Math" w:hAnsi="Cambria Math" w:cstheme="minorHAnsi"/>
                  <w:sz w:val="24"/>
                  <w:szCs w:val="24"/>
                </w:rPr>
                <m:t>p</m:t>
              </m:r>
            </m:e>
            <m:sub>
              <m:r>
                <w:rPr>
                  <w:rFonts w:ascii="Cambria Math" w:hAnsi="Cambria Math" w:cstheme="minorHAnsi"/>
                  <w:sz w:val="24"/>
                  <w:szCs w:val="24"/>
                </w:rPr>
                <m:t>x</m:t>
              </m:r>
            </m:sub>
            <m:sup>
              <m:r>
                <w:rPr>
                  <w:rFonts w:ascii="Cambria Math" w:hAnsi="Cambria Math" w:cstheme="minorHAnsi"/>
                  <w:sz w:val="24"/>
                  <w:szCs w:val="24"/>
                </w:rPr>
                <m:t>*</m:t>
              </m:r>
            </m:sup>
          </m:sSubSup>
          <m:r>
            <w:rPr>
              <w:rFonts w:ascii="Cambria Math" w:hAnsi="Cambria Math" w:cstheme="minorHAnsi"/>
              <w:sz w:val="24"/>
              <w:szCs w:val="24"/>
            </w:rPr>
            <m:t>=</m:t>
          </m:r>
          <m:sSup>
            <m:sSupPr>
              <m:ctrlPr>
                <w:rPr>
                  <w:rFonts w:ascii="Cambria Math" w:hAnsi="Cambria Math" w:cstheme="minorHAnsi"/>
                  <w:sz w:val="24"/>
                  <w:szCs w:val="24"/>
                </w:rPr>
              </m:ctrlPr>
            </m:sSupPr>
            <m:e>
              <m:r>
                <w:rPr>
                  <w:rFonts w:ascii="Cambria Math" w:eastAsiaTheme="minorEastAsia" w:hAnsi="Cambria Math" w:cstheme="minorHAnsi"/>
                  <w:sz w:val="24"/>
                  <w:szCs w:val="24"/>
                </w:rPr>
                <m:t>e</m:t>
              </m:r>
            </m:e>
            <m:sup>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μ</m:t>
                  </m:r>
                </m:e>
                <m:sub>
                  <m:r>
                    <w:rPr>
                      <w:rFonts w:ascii="Cambria Math" w:hAnsi="Cambria Math" w:cstheme="minorHAnsi"/>
                      <w:sz w:val="24"/>
                      <w:szCs w:val="24"/>
                    </w:rPr>
                    <m:t>x</m:t>
                  </m:r>
                </m:sub>
              </m:sSub>
              <m:d>
                <m:dPr>
                  <m:ctrlPr>
                    <w:rPr>
                      <w:rFonts w:ascii="Cambria Math" w:hAnsi="Cambria Math" w:cstheme="minorHAnsi"/>
                      <w:i/>
                      <w:sz w:val="24"/>
                      <w:szCs w:val="24"/>
                    </w:rPr>
                  </m:ctrlPr>
                </m:dPr>
                <m:e>
                  <m:r>
                    <w:rPr>
                      <w:rFonts w:ascii="Cambria Math" w:hAnsi="Cambria Math" w:cstheme="minorHAnsi"/>
                      <w:sz w:val="24"/>
                      <w:szCs w:val="24"/>
                    </w:rPr>
                    <m:t>1-</m:t>
                  </m:r>
                  <m:acc>
                    <m:accPr>
                      <m:chr m:val="̅"/>
                      <m:ctrlPr>
                        <w:rPr>
                          <w:rFonts w:ascii="Cambria Math" w:hAnsi="Cambria Math" w:cstheme="minorHAnsi"/>
                          <w:i/>
                          <w:sz w:val="24"/>
                          <w:szCs w:val="24"/>
                        </w:rPr>
                      </m:ctrlPr>
                    </m:accPr>
                    <m:e>
                      <m:r>
                        <w:rPr>
                          <w:rFonts w:ascii="Cambria Math" w:hAnsi="Cambria Math" w:cstheme="minorHAnsi"/>
                          <w:sz w:val="24"/>
                          <w:szCs w:val="24"/>
                        </w:rPr>
                        <m:t>r</m:t>
                      </m:r>
                    </m:e>
                  </m:acc>
                </m:e>
              </m:d>
              <m:r>
                <w:rPr>
                  <w:rFonts w:ascii="Cambria Math" w:hAnsi="Cambria Math" w:cstheme="minorHAnsi"/>
                  <w:sz w:val="24"/>
                  <w:szCs w:val="24"/>
                </w:rPr>
                <m:t>t</m:t>
              </m:r>
            </m:sup>
          </m:sSup>
          <m:r>
            <w:rPr>
              <w:rFonts w:ascii="Cambria Math" w:eastAsiaTheme="minorEastAsia" w:hAnsi="Cambria Math" w:cstheme="minorHAnsi"/>
              <w:sz w:val="24"/>
              <w:szCs w:val="24"/>
            </w:rPr>
            <m:t>=</m:t>
          </m:r>
          <m:sSup>
            <m:sSupPr>
              <m:ctrlPr>
                <w:rPr>
                  <w:rFonts w:ascii="Cambria Math" w:hAnsi="Cambria Math" w:cstheme="minorHAnsi"/>
                  <w:sz w:val="24"/>
                  <w:szCs w:val="24"/>
                </w:rPr>
              </m:ctrlPr>
            </m:sSupPr>
            <m:e>
              <m:r>
                <w:rPr>
                  <w:rFonts w:ascii="Cambria Math" w:eastAsiaTheme="minorEastAsia" w:hAnsi="Cambria Math" w:cstheme="minorHAnsi"/>
                  <w:sz w:val="24"/>
                  <w:szCs w:val="24"/>
                </w:rPr>
                <m:t>e</m:t>
              </m:r>
            </m:e>
            <m:sup>
              <m:r>
                <w:rPr>
                  <w:rFonts w:ascii="Cambria Math" w:hAnsi="Cambria Math" w:cstheme="minorHAnsi"/>
                  <w:sz w:val="24"/>
                  <w:szCs w:val="24"/>
                </w:rPr>
                <m:t>-</m:t>
              </m:r>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μ</m:t>
                      </m:r>
                    </m:e>
                  </m:acc>
                </m:e>
                <m:sub>
                  <m:r>
                    <w:rPr>
                      <w:rFonts w:ascii="Cambria Math" w:hAnsi="Cambria Math" w:cstheme="minorHAnsi"/>
                      <w:sz w:val="24"/>
                      <w:szCs w:val="24"/>
                    </w:rPr>
                    <m:t>x</m:t>
                  </m:r>
                </m:sub>
              </m:sSub>
              <m:r>
                <w:rPr>
                  <w:rFonts w:ascii="Cambria Math" w:hAnsi="Cambria Math" w:cstheme="minorHAnsi"/>
                  <w:sz w:val="24"/>
                  <w:szCs w:val="24"/>
                </w:rPr>
                <m:t>t</m:t>
              </m:r>
            </m:sup>
          </m:sSup>
          <m:r>
            <w:rPr>
              <w:rFonts w:ascii="Cambria Math" w:eastAsiaTheme="minorEastAsia" w:hAnsi="Cambria Math" w:cstheme="minorHAnsi"/>
              <w:sz w:val="24"/>
              <w:szCs w:val="24"/>
            </w:rPr>
            <m:t xml:space="preserve">           </m:t>
          </m:r>
          <m:r>
            <m:rPr>
              <m:sty m:val="p"/>
            </m:rPr>
            <w:rPr>
              <w:rFonts w:ascii="Cambria Math" w:eastAsiaTheme="minorEastAsia" w:hAnsi="Cambria Math" w:cstheme="minorHAnsi"/>
              <w:sz w:val="24"/>
              <w:szCs w:val="24"/>
            </w:rPr>
            <m:t>with</m:t>
          </m:r>
          <m:r>
            <w:rPr>
              <w:rFonts w:ascii="Cambria Math" w:eastAsiaTheme="minorEastAsia" w:hAnsi="Cambria Math" w:cstheme="minorHAnsi"/>
              <w:sz w:val="24"/>
              <w:szCs w:val="24"/>
            </w:rPr>
            <m:t xml:space="preserve"> </m:t>
          </m:r>
          <m:acc>
            <m:accPr>
              <m:chr m:val="̅"/>
              <m:ctrlPr>
                <w:rPr>
                  <w:rFonts w:ascii="Cambria Math" w:hAnsi="Cambria Math" w:cstheme="minorHAnsi"/>
                  <w:i/>
                  <w:sz w:val="24"/>
                  <w:szCs w:val="24"/>
                </w:rPr>
              </m:ctrlPr>
            </m:accPr>
            <m:e>
              <m:r>
                <w:rPr>
                  <w:rFonts w:ascii="Cambria Math" w:hAnsi="Cambria Math" w:cstheme="minorHAnsi"/>
                  <w:sz w:val="24"/>
                  <w:szCs w:val="24"/>
                </w:rPr>
                <m:t>r</m:t>
              </m:r>
            </m:e>
          </m:acc>
          <m:r>
            <w:rPr>
              <w:rFonts w:ascii="Cambria Math" w:hAnsi="Cambria Math" w:cstheme="minorHAnsi"/>
              <w:sz w:val="24"/>
              <w:szCs w:val="24"/>
            </w:rPr>
            <m:t>&lt;0,</m:t>
          </m:r>
          <m:r>
            <w:rPr>
              <w:rFonts w:ascii="Cambria Math" w:eastAsiaTheme="minorEastAsia" w:hAnsi="Cambria Math" w:cstheme="minorHAnsi"/>
              <w:sz w:val="24"/>
              <w:szCs w:val="24"/>
            </w:rPr>
            <m:t xml:space="preserve">    0&lt;t&lt;1</m:t>
          </m:r>
        </m:oMath>
      </m:oMathPara>
      <w:r w:rsidR="00001F76">
        <w:rPr>
          <w:rFonts w:eastAsiaTheme="minorEastAsia" w:cstheme="minorHAnsi"/>
          <w:sz w:val="24"/>
          <w:szCs w:val="24"/>
        </w:rPr>
        <w:t xml:space="preserve"> </w:t>
      </w:r>
      <w:r w:rsidR="00001F76">
        <w:rPr>
          <w:rFonts w:eastAsiaTheme="minorEastAsia" w:cstheme="minorHAnsi"/>
          <w:sz w:val="24"/>
          <w:szCs w:val="24"/>
        </w:rPr>
        <w:tab/>
      </w:r>
      <w:r w:rsidR="00001F76">
        <w:rPr>
          <w:rFonts w:eastAsiaTheme="minorEastAsia" w:cstheme="minorHAnsi"/>
          <w:sz w:val="24"/>
          <w:szCs w:val="24"/>
        </w:rPr>
        <w:tab/>
      </w:r>
      <w:r w:rsidR="00001F76">
        <w:rPr>
          <w:rFonts w:eastAsiaTheme="minorEastAsia" w:cstheme="minorHAnsi"/>
          <w:sz w:val="24"/>
          <w:szCs w:val="24"/>
        </w:rPr>
        <w:tab/>
        <w:t>(3.</w:t>
      </w:r>
      <w:r w:rsidR="00B51DB5">
        <w:rPr>
          <w:rFonts w:eastAsiaTheme="minorEastAsia" w:cstheme="minorHAnsi"/>
          <w:sz w:val="24"/>
          <w:szCs w:val="24"/>
        </w:rPr>
        <w:t>5</w:t>
      </w:r>
      <w:r w:rsidR="00001F76">
        <w:rPr>
          <w:rFonts w:eastAsiaTheme="minorEastAsia" w:cstheme="minorHAnsi"/>
          <w:sz w:val="24"/>
          <w:szCs w:val="24"/>
        </w:rPr>
        <w:t>)</w:t>
      </w:r>
    </w:p>
    <w:p w:rsidR="009D672B" w:rsidRPr="008862A3" w:rsidRDefault="0063033D" w:rsidP="0037647B">
      <w:pPr>
        <w:jc w:val="both"/>
        <w:rPr>
          <w:rFonts w:eastAsiaTheme="minorEastAsia" w:cstheme="minorHAnsi"/>
          <w:sz w:val="24"/>
          <w:szCs w:val="24"/>
        </w:rPr>
      </w:pPr>
      <w:r w:rsidRPr="008862A3">
        <w:rPr>
          <w:rFonts w:eastAsiaTheme="minorEastAsia" w:cstheme="minorHAnsi"/>
          <w:sz w:val="24"/>
          <w:szCs w:val="24"/>
        </w:rPr>
        <w:t>Similarl</w:t>
      </w:r>
      <w:r w:rsidR="00DD4A41" w:rsidRPr="008862A3">
        <w:rPr>
          <w:rFonts w:eastAsiaTheme="minorEastAsia" w:cstheme="minorHAnsi"/>
          <w:sz w:val="24"/>
          <w:szCs w:val="24"/>
        </w:rPr>
        <w:t xml:space="preserve">y, to allow for other decrements, like lapses or surrenders, it could also be written in the form of forces of transition, incorporated </w:t>
      </w:r>
      <w:proofErr w:type="gramStart"/>
      <w:r w:rsidR="00DD4A41" w:rsidRPr="008862A3">
        <w:rPr>
          <w:rFonts w:eastAsiaTheme="minorEastAsia" w:cstheme="minorHAnsi"/>
          <w:sz w:val="24"/>
          <w:szCs w:val="24"/>
        </w:rPr>
        <w:t xml:space="preserve">into </w:t>
      </w:r>
      <w:proofErr w:type="gramEnd"/>
      <m:oMath>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μ</m:t>
                </m:r>
              </m:e>
            </m:acc>
          </m:e>
          <m:sub>
            <m:r>
              <w:rPr>
                <w:rFonts w:ascii="Cambria Math" w:hAnsi="Cambria Math" w:cstheme="minorHAnsi"/>
                <w:sz w:val="24"/>
                <w:szCs w:val="24"/>
              </w:rPr>
              <m:t>x</m:t>
            </m:r>
          </m:sub>
        </m:sSub>
      </m:oMath>
      <w:r w:rsidR="00DD4A41" w:rsidRPr="008862A3">
        <w:rPr>
          <w:rFonts w:eastAsiaTheme="minorEastAsia" w:cstheme="minorHAnsi"/>
          <w:sz w:val="24"/>
          <w:szCs w:val="24"/>
        </w:rPr>
        <w:t>.</w:t>
      </w:r>
    </w:p>
    <w:p w:rsidR="00DA4EF6" w:rsidRPr="008862A3" w:rsidRDefault="00DA4EF6" w:rsidP="0037647B">
      <w:pPr>
        <w:jc w:val="both"/>
        <w:rPr>
          <w:rFonts w:eastAsiaTheme="minorEastAsia" w:cstheme="minorHAnsi"/>
          <w:sz w:val="24"/>
          <w:szCs w:val="24"/>
        </w:rPr>
      </w:pPr>
      <w:r w:rsidRPr="008862A3">
        <w:rPr>
          <w:rFonts w:eastAsiaTheme="minorEastAsia" w:cstheme="minorHAnsi"/>
          <w:sz w:val="24"/>
          <w:szCs w:val="24"/>
        </w:rPr>
        <w:t xml:space="preserve">Now let us consider a portfolio of </w:t>
      </w:r>
      <m:oMath>
        <m:r>
          <w:rPr>
            <w:rFonts w:ascii="Cambria Math" w:eastAsiaTheme="minorEastAsia" w:hAnsi="Cambria Math" w:cstheme="minorHAnsi"/>
            <w:sz w:val="24"/>
            <w:szCs w:val="24"/>
          </w:rPr>
          <m:t>N</m:t>
        </m:r>
      </m:oMath>
      <w:r w:rsidRPr="008862A3">
        <w:rPr>
          <w:rFonts w:eastAsiaTheme="minorEastAsia" w:cstheme="minorHAnsi"/>
          <w:sz w:val="24"/>
          <w:szCs w:val="24"/>
        </w:rPr>
        <w:t xml:space="preserve"> independent lives</w:t>
      </w:r>
      <w:r w:rsidR="00093C76" w:rsidRPr="008862A3">
        <w:rPr>
          <w:rFonts w:eastAsiaTheme="minorEastAsia" w:cstheme="minorHAnsi"/>
          <w:sz w:val="24"/>
          <w:szCs w:val="24"/>
        </w:rPr>
        <w:t xml:space="preserve">, and </w:t>
      </w:r>
      <w:proofErr w:type="gramStart"/>
      <w:r w:rsidR="00093C76" w:rsidRPr="008862A3">
        <w:rPr>
          <w:rFonts w:eastAsiaTheme="minorEastAsia" w:cstheme="minorHAnsi"/>
          <w:sz w:val="24"/>
          <w:szCs w:val="24"/>
        </w:rPr>
        <w:t xml:space="preserve">let </w:t>
      </w:r>
      <w:proofErr w:type="gramEnd"/>
      <m:oMath>
        <m:r>
          <w:rPr>
            <w:rFonts w:ascii="Cambria Math" w:eastAsiaTheme="minorEastAsia" w:hAnsi="Cambria Math" w:cstheme="minorHAnsi"/>
            <w:sz w:val="24"/>
            <w:szCs w:val="24"/>
          </w:rPr>
          <m:t>i=1,…,N</m:t>
        </m:r>
      </m:oMath>
      <w:r w:rsidRPr="008862A3">
        <w:rPr>
          <w:rFonts w:eastAsiaTheme="minorEastAsia" w:cstheme="minorHAnsi"/>
          <w:sz w:val="24"/>
          <w:szCs w:val="24"/>
        </w:rPr>
        <w:t xml:space="preserve">.  </w:t>
      </w:r>
      <w:r w:rsidR="00340997" w:rsidRPr="008862A3">
        <w:rPr>
          <w:rFonts w:eastAsiaTheme="minorEastAsia" w:cstheme="minorHAnsi"/>
          <w:sz w:val="24"/>
          <w:szCs w:val="24"/>
        </w:rPr>
        <w:t xml:space="preserve">Let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i</m:t>
            </m:r>
          </m:sub>
        </m:sSub>
      </m:oMath>
      <w:r w:rsidR="00340997" w:rsidRPr="008862A3">
        <w:rPr>
          <w:rFonts w:eastAsiaTheme="minorEastAsia" w:cstheme="minorHAnsi"/>
          <w:sz w:val="24"/>
          <w:szCs w:val="24"/>
        </w:rPr>
        <w:t xml:space="preserve">= time under observation or simply exposed to risk.  Let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d</m:t>
            </m:r>
          </m:e>
          <m:sub>
            <m:r>
              <w:rPr>
                <w:rFonts w:ascii="Cambria Math" w:eastAsiaTheme="minorEastAsia" w:hAnsi="Cambria Math" w:cstheme="minorHAnsi"/>
                <w:sz w:val="24"/>
                <w:szCs w:val="24"/>
              </w:rPr>
              <m:t>i</m:t>
            </m:r>
          </m:sub>
        </m:sSub>
      </m:oMath>
      <w:r w:rsidR="00340997" w:rsidRPr="008862A3">
        <w:rPr>
          <w:rFonts w:eastAsiaTheme="minorEastAsia" w:cstheme="minorHAnsi"/>
          <w:sz w:val="24"/>
          <w:szCs w:val="24"/>
        </w:rPr>
        <w:t xml:space="preserve">= 1 if life </w:t>
      </w:r>
      <m:oMath>
        <m:r>
          <w:rPr>
            <w:rFonts w:ascii="Cambria Math" w:eastAsiaTheme="minorEastAsia" w:hAnsi="Cambria Math" w:cstheme="minorHAnsi"/>
            <w:sz w:val="24"/>
            <w:szCs w:val="24"/>
          </w:rPr>
          <m:t>i</m:t>
        </m:r>
      </m:oMath>
      <w:r w:rsidR="00340997" w:rsidRPr="008862A3">
        <w:rPr>
          <w:rFonts w:eastAsiaTheme="minorEastAsia" w:cstheme="minorHAnsi"/>
          <w:sz w:val="24"/>
          <w:szCs w:val="24"/>
        </w:rPr>
        <w:t xml:space="preserve"> died and zero otherwise, an indicator variable. Then without proof</w:t>
      </w:r>
      <w:r w:rsidR="00B51DB5">
        <w:rPr>
          <w:rFonts w:eastAsiaTheme="minorEastAsia" w:cstheme="minorHAnsi"/>
          <w:sz w:val="24"/>
          <w:szCs w:val="24"/>
        </w:rPr>
        <w:t xml:space="preserve">, for the exponential distribution, </w:t>
      </w:r>
      <w:r w:rsidR="00093C76" w:rsidRPr="008862A3">
        <w:rPr>
          <w:rFonts w:eastAsiaTheme="minorEastAsia" w:cstheme="minorHAnsi"/>
          <w:sz w:val="24"/>
          <w:szCs w:val="24"/>
        </w:rPr>
        <w:t xml:space="preserve">for a sample </w:t>
      </w:r>
      <m:oMath>
        <m:d>
          <m:dPr>
            <m:ctrlPr>
              <w:rPr>
                <w:rFonts w:ascii="Cambria Math" w:eastAsiaTheme="minorEastAsia" w:hAnsi="Cambria Math" w:cstheme="minorHAnsi"/>
                <w:i/>
                <w:sz w:val="24"/>
                <w:szCs w:val="24"/>
              </w:rPr>
            </m:ctrlPr>
          </m:dPr>
          <m:e>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d</m:t>
                </m:r>
              </m:e>
              <m:sub>
                <m:r>
                  <w:rPr>
                    <w:rFonts w:ascii="Cambria Math" w:eastAsiaTheme="minorEastAsia" w:hAnsi="Cambria Math" w:cstheme="minorHAnsi"/>
                    <w:sz w:val="24"/>
                    <w:szCs w:val="24"/>
                  </w:rPr>
                  <m:t>i</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i</m:t>
                </m:r>
              </m:sub>
            </m:sSub>
          </m:e>
        </m:d>
      </m:oMath>
      <w:r w:rsidR="00093C76" w:rsidRPr="008862A3">
        <w:rPr>
          <w:rFonts w:eastAsiaTheme="minorEastAsia" w:cstheme="minorHAnsi"/>
          <w:sz w:val="24"/>
          <w:szCs w:val="24"/>
        </w:rPr>
        <w:t xml:space="preserve">  we know that</w:t>
      </w:r>
      <w:r w:rsidR="00B51DB5">
        <w:rPr>
          <w:rFonts w:eastAsiaTheme="minorEastAsia" w:cstheme="minorHAnsi"/>
          <w:sz w:val="24"/>
          <w:szCs w:val="24"/>
        </w:rPr>
        <w:t xml:space="preserve"> the probability of observing the particular data set, for life </w:t>
      </w:r>
      <m:oMath>
        <m:r>
          <w:rPr>
            <w:rFonts w:ascii="Cambria Math" w:eastAsiaTheme="minorEastAsia" w:hAnsi="Cambria Math" w:cstheme="minorHAnsi"/>
            <w:sz w:val="24"/>
            <w:szCs w:val="24"/>
          </w:rPr>
          <m:t>i</m:t>
        </m:r>
      </m:oMath>
      <w:r w:rsidR="00B51DB5">
        <w:rPr>
          <w:rFonts w:eastAsiaTheme="minorEastAsia" w:cstheme="minorHAnsi"/>
          <w:sz w:val="24"/>
          <w:szCs w:val="24"/>
        </w:rPr>
        <w:t xml:space="preserve"> only </w:t>
      </w:r>
    </w:p>
    <w:p w:rsidR="00340997" w:rsidRPr="008862A3" w:rsidRDefault="00B51DB5" w:rsidP="00B51DB5">
      <w:pPr>
        <w:jc w:val="right"/>
        <w:rPr>
          <w:rFonts w:eastAsiaTheme="minorEastAsia" w:cstheme="minorHAnsi"/>
          <w:sz w:val="24"/>
          <w:szCs w:val="24"/>
        </w:rPr>
      </w:p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i</m:t>
            </m:r>
          </m:sub>
        </m:sSub>
        <m:d>
          <m:dPr>
            <m:ctrlPr>
              <w:rPr>
                <w:rFonts w:ascii="Cambria Math" w:eastAsiaTheme="minorEastAsia" w:hAnsi="Cambria Math" w:cstheme="minorHAnsi"/>
                <w:i/>
                <w:sz w:val="24"/>
                <w:szCs w:val="24"/>
              </w:rPr>
            </m:ctrlPr>
          </m:dPr>
          <m:e>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d</m:t>
                </m:r>
              </m:e>
              <m:sub>
                <m:r>
                  <w:rPr>
                    <w:rFonts w:ascii="Cambria Math" w:eastAsiaTheme="minorEastAsia" w:hAnsi="Cambria Math" w:cstheme="minorHAnsi"/>
                    <w:sz w:val="24"/>
                    <w:szCs w:val="24"/>
                  </w:rPr>
                  <m:t>i</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i</m:t>
                </m:r>
              </m:sub>
            </m:sSub>
          </m:e>
        </m:d>
        <m:r>
          <w:rPr>
            <w:rFonts w:ascii="Cambria Math" w:eastAsiaTheme="minorEastAsia" w:hAnsi="Cambria Math" w:cstheme="minorHAnsi"/>
            <w:sz w:val="24"/>
            <w:szCs w:val="24"/>
          </w:rPr>
          <m:t>=</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e</m:t>
            </m:r>
          </m:e>
          <m:sup>
            <m:r>
              <w:rPr>
                <w:rFonts w:ascii="Cambria Math" w:eastAsiaTheme="minorEastAsia" w:hAnsi="Cambria Math" w:cstheme="minorHAnsi"/>
                <w:sz w:val="24"/>
                <w:szCs w:val="24"/>
              </w:rPr>
              <m:t>-μ</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i</m:t>
                </m:r>
              </m:sub>
            </m:sSub>
          </m:sup>
        </m:sSup>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rPr>
              <m:t>μ</m:t>
            </m:r>
          </m:e>
          <m:sub/>
          <m:sup>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d</m:t>
                </m:r>
              </m:e>
              <m:sub>
                <m:r>
                  <w:rPr>
                    <w:rFonts w:ascii="Cambria Math" w:eastAsiaTheme="minorEastAsia" w:hAnsi="Cambria Math" w:cstheme="minorHAnsi"/>
                    <w:sz w:val="24"/>
                    <w:szCs w:val="24"/>
                  </w:rPr>
                  <m:t>i</m:t>
                </m:r>
              </m:sub>
            </m:sSub>
          </m:sup>
        </m:sSubSup>
      </m:oMath>
      <w:r>
        <w:rPr>
          <w:rFonts w:eastAsiaTheme="minorEastAsia" w:cstheme="minorHAnsi"/>
          <w:sz w:val="24"/>
          <w:szCs w:val="24"/>
        </w:rPr>
        <w:t xml:space="preserve"> </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(3.6)</w:t>
      </w:r>
    </w:p>
    <w:p w:rsidR="00340997" w:rsidRPr="008862A3" w:rsidRDefault="00340997" w:rsidP="00182692">
      <w:pPr>
        <w:rPr>
          <w:rFonts w:eastAsiaTheme="minorEastAsia" w:cstheme="minorHAnsi"/>
          <w:sz w:val="24"/>
          <w:szCs w:val="24"/>
        </w:rPr>
      </w:pPr>
      <w:r w:rsidRPr="008862A3">
        <w:rPr>
          <w:rFonts w:eastAsiaTheme="minorEastAsia" w:cstheme="minorHAnsi"/>
          <w:sz w:val="24"/>
          <w:szCs w:val="24"/>
        </w:rPr>
        <w:t xml:space="preserve">And the </w:t>
      </w:r>
      <w:r w:rsidR="00B51DB5">
        <w:rPr>
          <w:rFonts w:eastAsiaTheme="minorEastAsia" w:cstheme="minorHAnsi"/>
          <w:sz w:val="24"/>
          <w:szCs w:val="24"/>
        </w:rPr>
        <w:t>likelihood</w:t>
      </w:r>
      <w:r w:rsidRPr="008862A3">
        <w:rPr>
          <w:rFonts w:eastAsiaTheme="minorEastAsia" w:cstheme="minorHAnsi"/>
          <w:sz w:val="24"/>
          <w:szCs w:val="24"/>
        </w:rPr>
        <w:t xml:space="preserve"> function for all N lives is</w:t>
      </w:r>
      <w:r w:rsidR="00093C76" w:rsidRPr="008862A3">
        <w:rPr>
          <w:rFonts w:eastAsiaTheme="minorEastAsia" w:cstheme="minorHAnsi"/>
          <w:sz w:val="24"/>
          <w:szCs w:val="24"/>
        </w:rPr>
        <w:t xml:space="preserve"> proportional to</w:t>
      </w:r>
      <w:r w:rsidRPr="008862A3">
        <w:rPr>
          <w:rFonts w:eastAsiaTheme="minorEastAsia" w:cstheme="minorHAnsi"/>
          <w:sz w:val="24"/>
          <w:szCs w:val="24"/>
        </w:rPr>
        <w:t>:</w:t>
      </w:r>
    </w:p>
    <w:p w:rsidR="00093C76" w:rsidRPr="008862A3" w:rsidRDefault="00B51DB5" w:rsidP="00B51DB5">
      <w:pPr>
        <w:jc w:val="right"/>
        <w:rPr>
          <w:rFonts w:eastAsiaTheme="minorEastAsia" w:cstheme="minorHAnsi"/>
          <w:sz w:val="24"/>
          <w:szCs w:val="24"/>
        </w:rPr>
      </w:pPr>
      <m:oMath>
        <m:nary>
          <m:naryPr>
            <m:chr m:val="∏"/>
            <m:limLoc m:val="undOvr"/>
            <m:ctrlPr>
              <w:rPr>
                <w:rFonts w:ascii="Cambria Math" w:eastAsiaTheme="minorEastAsia" w:hAnsi="Cambria Math" w:cstheme="minorHAnsi"/>
                <w:i/>
                <w:sz w:val="24"/>
                <w:szCs w:val="24"/>
              </w:rPr>
            </m:ctrlPr>
          </m:naryPr>
          <m:sub>
            <m:r>
              <w:rPr>
                <w:rFonts w:ascii="Cambria Math" w:eastAsiaTheme="minorEastAsia" w:hAnsi="Cambria Math" w:cstheme="minorHAnsi"/>
                <w:sz w:val="24"/>
                <w:szCs w:val="24"/>
              </w:rPr>
              <m:t>i=1</m:t>
            </m:r>
          </m:sub>
          <m:sup>
            <m:r>
              <w:rPr>
                <w:rFonts w:ascii="Cambria Math" w:eastAsiaTheme="minorEastAsia" w:hAnsi="Cambria Math" w:cstheme="minorHAnsi"/>
                <w:sz w:val="24"/>
                <w:szCs w:val="24"/>
              </w:rPr>
              <m:t>N</m:t>
            </m:r>
          </m:sup>
          <m:e>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e</m:t>
                </m:r>
              </m:e>
              <m:sup>
                <m:r>
                  <w:rPr>
                    <w:rFonts w:ascii="Cambria Math" w:eastAsiaTheme="minorEastAsia" w:hAnsi="Cambria Math" w:cstheme="minorHAnsi"/>
                    <w:sz w:val="24"/>
                    <w:szCs w:val="24"/>
                  </w:rPr>
                  <m:t>-μ</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i</m:t>
                    </m:r>
                  </m:sub>
                </m:sSub>
              </m:sup>
            </m:sSup>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rPr>
                  <m:t>μ</m:t>
                </m:r>
              </m:e>
              <m:sub/>
              <m:sup>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d</m:t>
                    </m:r>
                  </m:e>
                  <m:sub>
                    <m:r>
                      <w:rPr>
                        <w:rFonts w:ascii="Cambria Math" w:eastAsiaTheme="minorEastAsia" w:hAnsi="Cambria Math" w:cstheme="minorHAnsi"/>
                        <w:sz w:val="24"/>
                        <w:szCs w:val="24"/>
                      </w:rPr>
                      <m:t>i</m:t>
                    </m:r>
                  </m:sub>
                </m:sSub>
              </m:sup>
            </m:sSubSup>
          </m:e>
        </m:nary>
        <m:r>
          <w:rPr>
            <w:rFonts w:ascii="Cambria Math" w:eastAsiaTheme="minorEastAsia" w:hAnsi="Cambria Math" w:cstheme="minorHAnsi"/>
            <w:sz w:val="24"/>
            <w:szCs w:val="24"/>
          </w:rPr>
          <m:t>=</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e</m:t>
            </m:r>
          </m:e>
          <m:sup>
            <m:r>
              <w:rPr>
                <w:rFonts w:ascii="Cambria Math" w:eastAsiaTheme="minorEastAsia" w:hAnsi="Cambria Math" w:cstheme="minorHAnsi"/>
                <w:sz w:val="24"/>
                <w:szCs w:val="24"/>
              </w:rPr>
              <m:t>-μv</m:t>
            </m:r>
          </m:sup>
        </m:sSup>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rPr>
              <m:t>μ</m:t>
            </m:r>
          </m:e>
          <m:sub/>
          <m:sup>
            <m:r>
              <w:rPr>
                <w:rFonts w:ascii="Cambria Math" w:eastAsiaTheme="minorEastAsia" w:hAnsi="Cambria Math" w:cstheme="minorHAnsi"/>
                <w:sz w:val="24"/>
                <w:szCs w:val="24"/>
              </w:rPr>
              <m:t>d</m:t>
            </m:r>
          </m:sup>
        </m:sSubSup>
      </m:oMath>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(3.7)</w:t>
      </w:r>
    </w:p>
    <w:p w:rsidR="00BB7E17" w:rsidRPr="008862A3" w:rsidRDefault="00B51DB5" w:rsidP="00182692">
      <w:pPr>
        <w:rPr>
          <w:rFonts w:eastAsiaTheme="minorEastAsia" w:cstheme="minorHAnsi"/>
          <w:sz w:val="24"/>
          <w:szCs w:val="24"/>
        </w:rPr>
      </w:pPr>
      <w:proofErr w:type="gramStart"/>
      <w:r>
        <w:rPr>
          <w:rFonts w:eastAsiaTheme="minorEastAsia" w:cstheme="minorHAnsi"/>
          <w:sz w:val="24"/>
          <w:szCs w:val="24"/>
        </w:rPr>
        <w:t>w</w:t>
      </w:r>
      <w:r w:rsidR="00BB7E17" w:rsidRPr="008862A3">
        <w:rPr>
          <w:rFonts w:eastAsiaTheme="minorEastAsia" w:cstheme="minorHAnsi"/>
          <w:sz w:val="24"/>
          <w:szCs w:val="24"/>
        </w:rPr>
        <w:t>here</w:t>
      </w:r>
      <w:proofErr w:type="gramEnd"/>
      <w:r w:rsidR="00BB7E17" w:rsidRPr="008862A3">
        <w:rPr>
          <w:rFonts w:eastAsiaTheme="minorEastAsia" w:cstheme="minorHAnsi"/>
          <w:sz w:val="24"/>
          <w:szCs w:val="24"/>
        </w:rPr>
        <w:t xml:space="preserve"> </w:t>
      </w:r>
      <m:oMath>
        <m:r>
          <w:rPr>
            <w:rFonts w:ascii="Cambria Math" w:eastAsiaTheme="minorEastAsia" w:hAnsi="Cambria Math" w:cstheme="minorHAnsi"/>
            <w:sz w:val="24"/>
            <w:szCs w:val="24"/>
          </w:rPr>
          <m:t>v=</m:t>
        </m:r>
        <m:nary>
          <m:naryPr>
            <m:chr m:val="∑"/>
            <m:limLoc m:val="undOvr"/>
            <m:ctrlPr>
              <w:rPr>
                <w:rFonts w:ascii="Cambria Math" w:eastAsiaTheme="minorEastAsia" w:hAnsi="Cambria Math" w:cstheme="minorHAnsi"/>
                <w:i/>
                <w:sz w:val="24"/>
                <w:szCs w:val="24"/>
              </w:rPr>
            </m:ctrlPr>
          </m:naryPr>
          <m:sub>
            <m:r>
              <w:rPr>
                <w:rFonts w:ascii="Cambria Math" w:eastAsiaTheme="minorEastAsia" w:hAnsi="Cambria Math" w:cstheme="minorHAnsi"/>
                <w:sz w:val="24"/>
                <w:szCs w:val="24"/>
              </w:rPr>
              <m:t>i=1</m:t>
            </m:r>
          </m:sub>
          <m:sup>
            <m:r>
              <w:rPr>
                <w:rFonts w:ascii="Cambria Math" w:eastAsiaTheme="minorEastAsia" w:hAnsi="Cambria Math" w:cstheme="minorHAnsi"/>
                <w:sz w:val="24"/>
                <w:szCs w:val="24"/>
              </w:rPr>
              <m:t>N</m:t>
            </m:r>
          </m:sup>
          <m:e>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i</m:t>
                </m:r>
              </m:sub>
            </m:sSub>
          </m:e>
        </m:nary>
      </m:oMath>
      <w:r w:rsidR="00BB7E17" w:rsidRPr="008862A3">
        <w:rPr>
          <w:rFonts w:eastAsiaTheme="minorEastAsia" w:cstheme="minorHAnsi"/>
          <w:sz w:val="24"/>
          <w:szCs w:val="24"/>
        </w:rPr>
        <w:t xml:space="preserve"> and </w:t>
      </w:r>
      <m:oMath>
        <m:r>
          <w:rPr>
            <w:rFonts w:ascii="Cambria Math" w:eastAsiaTheme="minorEastAsia" w:hAnsi="Cambria Math" w:cstheme="minorHAnsi"/>
            <w:sz w:val="24"/>
            <w:szCs w:val="24"/>
          </w:rPr>
          <m:t>d=</m:t>
        </m:r>
        <m:nary>
          <m:naryPr>
            <m:chr m:val="∑"/>
            <m:limLoc m:val="undOvr"/>
            <m:ctrlPr>
              <w:rPr>
                <w:rFonts w:ascii="Cambria Math" w:eastAsiaTheme="minorEastAsia" w:hAnsi="Cambria Math" w:cstheme="minorHAnsi"/>
                <w:i/>
                <w:sz w:val="24"/>
                <w:szCs w:val="24"/>
              </w:rPr>
            </m:ctrlPr>
          </m:naryPr>
          <m:sub>
            <m:r>
              <w:rPr>
                <w:rFonts w:ascii="Cambria Math" w:eastAsiaTheme="minorEastAsia" w:hAnsi="Cambria Math" w:cstheme="minorHAnsi"/>
                <w:sz w:val="24"/>
                <w:szCs w:val="24"/>
              </w:rPr>
              <m:t>i=1</m:t>
            </m:r>
          </m:sub>
          <m:sup>
            <m:r>
              <w:rPr>
                <w:rFonts w:ascii="Cambria Math" w:eastAsiaTheme="minorEastAsia" w:hAnsi="Cambria Math" w:cstheme="minorHAnsi"/>
                <w:sz w:val="24"/>
                <w:szCs w:val="24"/>
              </w:rPr>
              <m:t>N</m:t>
            </m:r>
          </m:sup>
          <m:e>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d</m:t>
                </m:r>
              </m:e>
              <m:sub>
                <m:r>
                  <w:rPr>
                    <w:rFonts w:ascii="Cambria Math" w:eastAsiaTheme="minorEastAsia" w:hAnsi="Cambria Math" w:cstheme="minorHAnsi"/>
                    <w:sz w:val="24"/>
                    <w:szCs w:val="24"/>
                  </w:rPr>
                  <m:t>i</m:t>
                </m:r>
              </m:sub>
            </m:sSub>
          </m:e>
        </m:nary>
      </m:oMath>
    </w:p>
    <w:p w:rsidR="00BB7E17" w:rsidRPr="008862A3" w:rsidRDefault="00BB7E17" w:rsidP="00182692">
      <w:pPr>
        <w:rPr>
          <w:rFonts w:eastAsiaTheme="minorEastAsia" w:cstheme="minorHAnsi"/>
          <w:sz w:val="24"/>
          <w:szCs w:val="24"/>
        </w:rPr>
      </w:pPr>
      <w:r w:rsidRPr="008862A3">
        <w:rPr>
          <w:rFonts w:eastAsiaTheme="minorEastAsia" w:cstheme="minorHAnsi"/>
          <w:sz w:val="24"/>
          <w:szCs w:val="24"/>
        </w:rPr>
        <w:t xml:space="preserve">And we can use this result to find a maximum likelihood estimator (MLE) of </w:t>
      </w:r>
      <m:oMath>
        <m:r>
          <w:rPr>
            <w:rFonts w:ascii="Cambria Math" w:eastAsiaTheme="minorEastAsia" w:hAnsi="Cambria Math" w:cstheme="minorHAnsi"/>
            <w:sz w:val="24"/>
            <w:szCs w:val="24"/>
          </w:rPr>
          <m:t>μ</m:t>
        </m:r>
      </m:oMath>
      <w:r w:rsidRPr="008862A3">
        <w:rPr>
          <w:rFonts w:eastAsiaTheme="minorEastAsia" w:cstheme="minorHAnsi"/>
          <w:sz w:val="24"/>
          <w:szCs w:val="24"/>
        </w:rPr>
        <w:t xml:space="preserve"> as</w:t>
      </w:r>
    </w:p>
    <w:p w:rsidR="00BB7E17" w:rsidRPr="008862A3" w:rsidRDefault="00B51DB5" w:rsidP="00B51DB5">
      <w:pPr>
        <w:jc w:val="right"/>
        <w:rPr>
          <w:rFonts w:eastAsiaTheme="minorEastAsia" w:cstheme="minorHAnsi"/>
          <w:sz w:val="24"/>
          <w:szCs w:val="24"/>
        </w:rPr>
      </w:pP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μ</m:t>
            </m:r>
          </m:e>
        </m:acc>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d</m:t>
            </m:r>
          </m:num>
          <m:den>
            <m:r>
              <w:rPr>
                <w:rFonts w:ascii="Cambria Math" w:eastAsiaTheme="minorEastAsia" w:hAnsi="Cambria Math" w:cstheme="minorHAnsi"/>
                <w:sz w:val="24"/>
                <w:szCs w:val="24"/>
              </w:rPr>
              <m:t>v</m:t>
            </m:r>
          </m:den>
        </m:f>
      </m:oMath>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(3.8)</w:t>
      </w:r>
    </w:p>
    <w:p w:rsidR="00BB7E17" w:rsidRPr="008862A3" w:rsidRDefault="00AB25F1" w:rsidP="008B300C">
      <w:pPr>
        <w:jc w:val="both"/>
        <w:rPr>
          <w:rFonts w:eastAsiaTheme="minorEastAsia" w:cstheme="minorHAnsi"/>
          <w:sz w:val="24"/>
          <w:szCs w:val="24"/>
        </w:rPr>
      </w:pPr>
      <w:r w:rsidRPr="008862A3">
        <w:rPr>
          <w:rFonts w:eastAsiaTheme="minorEastAsia" w:cstheme="minorHAnsi"/>
          <w:sz w:val="24"/>
          <w:szCs w:val="24"/>
        </w:rPr>
        <w:t xml:space="preserve">This result does not consider different ages, sex or smoker status, and is a universal result for a cohort/portfolio of lives.  </w:t>
      </w:r>
      <w:r w:rsidR="00BB7E17" w:rsidRPr="008862A3">
        <w:rPr>
          <w:rFonts w:eastAsiaTheme="minorEastAsia" w:cstheme="minorHAnsi"/>
          <w:sz w:val="24"/>
          <w:szCs w:val="24"/>
        </w:rPr>
        <w:t>We can therefore easily calculate the MLE of the force of mortality for any give portfolio of lives, or even parts of portfolios</w:t>
      </w:r>
      <w:r w:rsidRPr="008862A3">
        <w:rPr>
          <w:rFonts w:eastAsiaTheme="minorEastAsia" w:cstheme="minorHAnsi"/>
          <w:sz w:val="24"/>
          <w:szCs w:val="24"/>
        </w:rPr>
        <w:t xml:space="preserve"> with certain groupings</w:t>
      </w:r>
      <w:r w:rsidR="00BB7E17" w:rsidRPr="008862A3">
        <w:rPr>
          <w:rFonts w:eastAsiaTheme="minorEastAsia" w:cstheme="minorHAnsi"/>
          <w:sz w:val="24"/>
          <w:szCs w:val="24"/>
        </w:rPr>
        <w:t xml:space="preserve">.  </w:t>
      </w:r>
      <w:r w:rsidRPr="008862A3">
        <w:rPr>
          <w:rFonts w:eastAsiaTheme="minorEastAsia" w:cstheme="minorHAnsi"/>
          <w:sz w:val="24"/>
          <w:szCs w:val="24"/>
        </w:rPr>
        <w:t>T</w:t>
      </w:r>
      <w:r w:rsidR="004845D7" w:rsidRPr="008862A3">
        <w:rPr>
          <w:rFonts w:eastAsiaTheme="minorEastAsia" w:cstheme="minorHAnsi"/>
          <w:sz w:val="24"/>
          <w:szCs w:val="24"/>
        </w:rPr>
        <w:t xml:space="preserve">he portfolio of lives </w:t>
      </w:r>
      <w:r w:rsidRPr="008862A3">
        <w:rPr>
          <w:rFonts w:eastAsiaTheme="minorEastAsia" w:cstheme="minorHAnsi"/>
          <w:sz w:val="24"/>
          <w:szCs w:val="24"/>
        </w:rPr>
        <w:t xml:space="preserve">can be seen </w:t>
      </w:r>
      <w:r w:rsidR="004845D7" w:rsidRPr="008862A3">
        <w:rPr>
          <w:rFonts w:eastAsiaTheme="minorEastAsia" w:cstheme="minorHAnsi"/>
          <w:sz w:val="24"/>
          <w:szCs w:val="24"/>
        </w:rPr>
        <w:t>as a new entity with a single force of mortality over the next year.  In the same way the force of mortality could be estimated</w:t>
      </w:r>
      <w:r w:rsidRPr="008862A3">
        <w:rPr>
          <w:rFonts w:eastAsiaTheme="minorEastAsia" w:cstheme="minorHAnsi"/>
          <w:sz w:val="24"/>
          <w:szCs w:val="24"/>
        </w:rPr>
        <w:t xml:space="preserve"> for future years</w:t>
      </w:r>
      <w:r w:rsidR="004845D7" w:rsidRPr="008862A3">
        <w:rPr>
          <w:rFonts w:eastAsiaTheme="minorEastAsia" w:cstheme="minorHAnsi"/>
          <w:sz w:val="24"/>
          <w:szCs w:val="24"/>
        </w:rPr>
        <w:t xml:space="preserve">.  </w:t>
      </w:r>
      <w:r w:rsidR="00BB7E17" w:rsidRPr="008862A3">
        <w:rPr>
          <w:rFonts w:eastAsiaTheme="minorEastAsia" w:cstheme="minorHAnsi"/>
          <w:sz w:val="24"/>
          <w:szCs w:val="24"/>
        </w:rPr>
        <w:t xml:space="preserve">This is under the assumption that it would be constant over </w:t>
      </w:r>
      <w:r w:rsidRPr="008862A3">
        <w:rPr>
          <w:rFonts w:eastAsiaTheme="minorEastAsia" w:cstheme="minorHAnsi"/>
          <w:sz w:val="24"/>
          <w:szCs w:val="24"/>
        </w:rPr>
        <w:t>each individual</w:t>
      </w:r>
      <w:r w:rsidR="00BB7E17" w:rsidRPr="008862A3">
        <w:rPr>
          <w:rFonts w:eastAsiaTheme="minorEastAsia" w:cstheme="minorHAnsi"/>
          <w:sz w:val="24"/>
          <w:szCs w:val="24"/>
        </w:rPr>
        <w:t xml:space="preserve"> </w:t>
      </w:r>
      <w:r w:rsidR="00B51DB5">
        <w:rPr>
          <w:rFonts w:eastAsiaTheme="minorEastAsia" w:cstheme="minorHAnsi"/>
          <w:sz w:val="24"/>
          <w:szCs w:val="24"/>
        </w:rPr>
        <w:t>life-</w:t>
      </w:r>
      <w:r w:rsidR="00BB7E17" w:rsidRPr="008862A3">
        <w:rPr>
          <w:rFonts w:eastAsiaTheme="minorEastAsia" w:cstheme="minorHAnsi"/>
          <w:sz w:val="24"/>
          <w:szCs w:val="24"/>
        </w:rPr>
        <w:t>year</w:t>
      </w:r>
      <w:r w:rsidR="00B51DB5">
        <w:rPr>
          <w:rFonts w:eastAsiaTheme="minorEastAsia" w:cstheme="minorHAnsi"/>
          <w:sz w:val="24"/>
          <w:szCs w:val="24"/>
        </w:rPr>
        <w:t xml:space="preserve">, or between ages </w:t>
      </w:r>
      <m:oMath>
        <m:r>
          <w:rPr>
            <w:rFonts w:ascii="Cambria Math" w:eastAsiaTheme="minorEastAsia" w:hAnsi="Cambria Math" w:cstheme="minorHAnsi"/>
            <w:sz w:val="24"/>
            <w:szCs w:val="24"/>
          </w:rPr>
          <m:t>(x, x+1)</m:t>
        </m:r>
      </m:oMath>
      <w:r w:rsidR="00B51DB5">
        <w:rPr>
          <w:rFonts w:eastAsiaTheme="minorEastAsia" w:cstheme="minorHAnsi"/>
          <w:sz w:val="24"/>
          <w:szCs w:val="24"/>
        </w:rPr>
        <w:t xml:space="preserve"> for each life</w:t>
      </w:r>
      <w:r w:rsidR="00BB7E17" w:rsidRPr="008862A3">
        <w:rPr>
          <w:rFonts w:eastAsiaTheme="minorEastAsia" w:cstheme="minorHAnsi"/>
          <w:sz w:val="24"/>
          <w:szCs w:val="24"/>
        </w:rPr>
        <w:t>. The mortality improvement</w:t>
      </w:r>
      <w:r w:rsidRPr="008862A3">
        <w:rPr>
          <w:rFonts w:eastAsiaTheme="minorEastAsia" w:cstheme="minorHAnsi"/>
          <w:sz w:val="24"/>
          <w:szCs w:val="24"/>
        </w:rPr>
        <w:t>s can then be applied</w:t>
      </w:r>
      <w:r w:rsidR="00BB7E17" w:rsidRPr="008862A3">
        <w:rPr>
          <w:rFonts w:eastAsiaTheme="minorEastAsia" w:cstheme="minorHAnsi"/>
          <w:sz w:val="24"/>
          <w:szCs w:val="24"/>
        </w:rPr>
        <w:t xml:space="preserve"> </w:t>
      </w:r>
      <w:r w:rsidR="004845D7" w:rsidRPr="008862A3">
        <w:rPr>
          <w:rFonts w:eastAsiaTheme="minorEastAsia" w:cstheme="minorHAnsi"/>
          <w:sz w:val="24"/>
          <w:szCs w:val="24"/>
        </w:rPr>
        <w:t xml:space="preserve">on the survival probability </w:t>
      </w:r>
      <w:r w:rsidRPr="008862A3">
        <w:rPr>
          <w:rFonts w:eastAsiaTheme="minorEastAsia" w:cstheme="minorHAnsi"/>
          <w:sz w:val="24"/>
          <w:szCs w:val="24"/>
        </w:rPr>
        <w:t>of the portfolio as a whole</w:t>
      </w:r>
      <w:r w:rsidR="00B51DB5">
        <w:rPr>
          <w:rFonts w:eastAsiaTheme="minorEastAsia" w:cstheme="minorHAnsi"/>
          <w:sz w:val="24"/>
          <w:szCs w:val="24"/>
        </w:rPr>
        <w:t>, using (3.5) above</w:t>
      </w:r>
      <w:r w:rsidRPr="008862A3">
        <w:rPr>
          <w:rFonts w:eastAsiaTheme="minorEastAsia" w:cstheme="minorHAnsi"/>
          <w:sz w:val="24"/>
          <w:szCs w:val="24"/>
        </w:rPr>
        <w:t xml:space="preserve">. </w:t>
      </w:r>
    </w:p>
    <w:p w:rsidR="00AB25F1" w:rsidRPr="008862A3" w:rsidRDefault="00AB25F1" w:rsidP="008B300C">
      <w:pPr>
        <w:jc w:val="both"/>
        <w:rPr>
          <w:rFonts w:eastAsiaTheme="minorEastAsia" w:cstheme="minorHAnsi"/>
          <w:sz w:val="24"/>
          <w:szCs w:val="24"/>
        </w:rPr>
      </w:pPr>
      <w:r w:rsidRPr="008862A3">
        <w:rPr>
          <w:rFonts w:eastAsiaTheme="minorEastAsia" w:cstheme="minorHAnsi"/>
          <w:sz w:val="24"/>
          <w:szCs w:val="24"/>
        </w:rPr>
        <w:t>The portfolio force of mortality could already include allowance for lapses.  Annual rebalancing could be done.  The application of the hedge will be illustrated shortly.</w:t>
      </w:r>
    </w:p>
    <w:p w:rsidR="00AB25F1" w:rsidRPr="008862A3" w:rsidRDefault="00AB25F1" w:rsidP="008B300C">
      <w:pPr>
        <w:jc w:val="both"/>
        <w:rPr>
          <w:rFonts w:eastAsiaTheme="minorEastAsia" w:cstheme="minorHAnsi"/>
          <w:sz w:val="24"/>
          <w:szCs w:val="24"/>
        </w:rPr>
      </w:pPr>
      <w:r w:rsidRPr="008862A3">
        <w:rPr>
          <w:rFonts w:eastAsiaTheme="minorEastAsia" w:cstheme="minorHAnsi"/>
          <w:sz w:val="24"/>
          <w:szCs w:val="24"/>
        </w:rPr>
        <w:t xml:space="preserve">Another complication is that the sum assured is not the same for each life, and that annuity payments also differ between pensioners. To cross this barrier we use a portfolio of assurances </w:t>
      </w:r>
      <w:r w:rsidR="001E780C" w:rsidRPr="008862A3">
        <w:rPr>
          <w:rFonts w:eastAsiaTheme="minorEastAsia" w:cstheme="minorHAnsi"/>
          <w:sz w:val="24"/>
          <w:szCs w:val="24"/>
        </w:rPr>
        <w:t xml:space="preserve">with a single constant sum assured, and similar for annuity payments.  Everything above this constant could be reinsured or retained, but will not form part of the hedge on a group basis.  If </w:t>
      </w:r>
      <w:r w:rsidR="001E780C" w:rsidRPr="008862A3">
        <w:rPr>
          <w:rFonts w:eastAsiaTheme="minorEastAsia" w:cstheme="minorHAnsi"/>
          <w:sz w:val="24"/>
          <w:szCs w:val="24"/>
        </w:rPr>
        <w:lastRenderedPageBreak/>
        <w:t>the hedge is calculated on an individual basis</w:t>
      </w:r>
      <w:r w:rsidR="00E03A12">
        <w:rPr>
          <w:rStyle w:val="FootnoteReference"/>
          <w:rFonts w:eastAsiaTheme="minorEastAsia" w:cstheme="minorHAnsi"/>
          <w:sz w:val="24"/>
          <w:szCs w:val="24"/>
        </w:rPr>
        <w:footnoteReference w:id="1"/>
      </w:r>
      <w:r w:rsidR="001E780C" w:rsidRPr="008862A3">
        <w:rPr>
          <w:rFonts w:eastAsiaTheme="minorEastAsia" w:cstheme="minorHAnsi"/>
          <w:sz w:val="24"/>
          <w:szCs w:val="24"/>
        </w:rPr>
        <w:t xml:space="preserve"> the differences in amount does not pose a problem. It would however introduce more volatility and risk due to the correlation.  Two different lives with $100,000 sum assured are independent, but a single life with $200,000 sum assured has perfect correlation.  </w:t>
      </w:r>
    </w:p>
    <w:p w:rsidR="00084F48" w:rsidRDefault="00084F48" w:rsidP="00084F48">
      <w:pPr>
        <w:rPr>
          <w:rFonts w:eastAsiaTheme="minorEastAsia" w:cstheme="minorHAnsi"/>
          <w:sz w:val="24"/>
          <w:szCs w:val="24"/>
        </w:rPr>
      </w:pPr>
    </w:p>
    <w:p w:rsidR="00084F48" w:rsidRDefault="00084F48" w:rsidP="00084F48">
      <w:pPr>
        <w:rPr>
          <w:rFonts w:eastAsiaTheme="minorEastAsia" w:cstheme="minorHAnsi"/>
          <w:sz w:val="24"/>
          <w:szCs w:val="24"/>
        </w:rPr>
      </w:pPr>
    </w:p>
    <w:p w:rsidR="00084F48" w:rsidRDefault="00084F48" w:rsidP="00084F48">
      <w:pPr>
        <w:rPr>
          <w:rFonts w:eastAsiaTheme="minorEastAsia" w:cstheme="minorHAnsi"/>
          <w:sz w:val="24"/>
          <w:szCs w:val="24"/>
        </w:rPr>
      </w:pPr>
    </w:p>
    <w:p w:rsidR="00084F48" w:rsidRDefault="00084F48" w:rsidP="00084F48">
      <w:pPr>
        <w:rPr>
          <w:rFonts w:eastAsiaTheme="minorEastAsia" w:cstheme="minorHAnsi"/>
          <w:sz w:val="24"/>
          <w:szCs w:val="24"/>
        </w:rPr>
      </w:pPr>
    </w:p>
    <w:p w:rsidR="00084F48" w:rsidRDefault="00084F48" w:rsidP="00084F48">
      <w:pPr>
        <w:rPr>
          <w:rFonts w:eastAsiaTheme="minorEastAsia" w:cstheme="minorHAnsi"/>
          <w:sz w:val="24"/>
          <w:szCs w:val="24"/>
        </w:rPr>
      </w:pPr>
    </w:p>
    <w:p w:rsidR="00084F48" w:rsidRPr="00084F48" w:rsidRDefault="00084F48" w:rsidP="00084F48">
      <w:pPr>
        <w:pStyle w:val="Caption"/>
        <w:rPr>
          <w:rFonts w:eastAsiaTheme="minorEastAsia" w:cstheme="minorHAnsi"/>
          <w:sz w:val="22"/>
          <w:szCs w:val="22"/>
        </w:rPr>
      </w:pPr>
      <w:r w:rsidRPr="00084F48">
        <w:rPr>
          <w:sz w:val="22"/>
          <w:szCs w:val="22"/>
        </w:rPr>
        <w:t xml:space="preserve">Figure </w:t>
      </w:r>
      <w:r w:rsidRPr="00084F48">
        <w:rPr>
          <w:sz w:val="22"/>
          <w:szCs w:val="22"/>
        </w:rPr>
        <w:fldChar w:fldCharType="begin"/>
      </w:r>
      <w:r w:rsidRPr="00084F48">
        <w:rPr>
          <w:sz w:val="22"/>
          <w:szCs w:val="22"/>
        </w:rPr>
        <w:instrText xml:space="preserve"> SEQ Figure \* ARABIC </w:instrText>
      </w:r>
      <w:r w:rsidRPr="00084F48">
        <w:rPr>
          <w:sz w:val="22"/>
          <w:szCs w:val="22"/>
        </w:rPr>
        <w:fldChar w:fldCharType="separate"/>
      </w:r>
      <w:r w:rsidR="00765D35">
        <w:rPr>
          <w:noProof/>
          <w:sz w:val="22"/>
          <w:szCs w:val="22"/>
        </w:rPr>
        <w:t>2</w:t>
      </w:r>
      <w:r w:rsidRPr="00084F48">
        <w:rPr>
          <w:sz w:val="22"/>
          <w:szCs w:val="22"/>
        </w:rPr>
        <w:fldChar w:fldCharType="end"/>
      </w:r>
      <w:r w:rsidRPr="00084F48">
        <w:rPr>
          <w:sz w:val="22"/>
          <w:szCs w:val="22"/>
        </w:rPr>
        <w:t xml:space="preserve"> - Split of assurances to create a constant sum assured</w:t>
      </w:r>
    </w:p>
    <w:p w:rsidR="008862A3" w:rsidRPr="008862A3" w:rsidRDefault="001E780C" w:rsidP="00084F48">
      <w:pPr>
        <w:rPr>
          <w:rFonts w:eastAsiaTheme="minorEastAsia" w:cstheme="minorHAnsi"/>
          <w:sz w:val="24"/>
          <w:szCs w:val="24"/>
        </w:rPr>
      </w:pPr>
      <w:r w:rsidRPr="008862A3">
        <w:rPr>
          <w:rFonts w:eastAsiaTheme="minorEastAsia" w:cstheme="minorHAnsi"/>
          <w:noProof/>
          <w:sz w:val="24"/>
          <w:szCs w:val="24"/>
          <w:lang w:val="en-ZA" w:eastAsia="en-ZA"/>
        </w:rPr>
        <w:drawing>
          <wp:inline distT="0" distB="0" distL="0" distR="0" wp14:anchorId="495A888A" wp14:editId="3134FECF">
            <wp:extent cx="3260035" cy="19614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0035" cy="1961454"/>
                    </a:xfrm>
                    <a:prstGeom prst="rect">
                      <a:avLst/>
                    </a:prstGeom>
                    <a:noFill/>
                  </pic:spPr>
                </pic:pic>
              </a:graphicData>
            </a:graphic>
          </wp:inline>
        </w:drawing>
      </w:r>
      <w:r w:rsidR="00084F48">
        <w:rPr>
          <w:rFonts w:eastAsiaTheme="minorEastAsia" w:cstheme="minorHAnsi"/>
          <w:sz w:val="24"/>
          <w:szCs w:val="24"/>
        </w:rPr>
        <w:tab/>
      </w:r>
    </w:p>
    <w:p w:rsidR="00E03A12" w:rsidRDefault="00E03A12" w:rsidP="008B300C">
      <w:pPr>
        <w:jc w:val="both"/>
        <w:rPr>
          <w:rFonts w:eastAsiaTheme="minorEastAsia" w:cstheme="minorHAnsi"/>
          <w:sz w:val="24"/>
          <w:szCs w:val="24"/>
        </w:rPr>
      </w:pPr>
      <w:r>
        <w:rPr>
          <w:rFonts w:eastAsiaTheme="minorEastAsia" w:cstheme="minorHAnsi"/>
          <w:sz w:val="24"/>
          <w:szCs w:val="24"/>
        </w:rPr>
        <w:t xml:space="preserve">Another method to allow for differences in sum </w:t>
      </w:r>
      <w:proofErr w:type="gramStart"/>
      <w:r>
        <w:rPr>
          <w:rFonts w:eastAsiaTheme="minorEastAsia" w:cstheme="minorHAnsi"/>
          <w:sz w:val="24"/>
          <w:szCs w:val="24"/>
        </w:rPr>
        <w:t>assured,</w:t>
      </w:r>
      <w:proofErr w:type="gramEnd"/>
      <w:r>
        <w:rPr>
          <w:rFonts w:eastAsiaTheme="minorEastAsia" w:cstheme="minorHAnsi"/>
          <w:sz w:val="24"/>
          <w:szCs w:val="24"/>
        </w:rPr>
        <w:t xml:space="preserve"> is to incorporate weights into the forces of transition, allowing for larger sums assured to have heavier mortality. Let</w:t>
      </w:r>
      <w:r w:rsidR="0021579D">
        <w:rPr>
          <w:rFonts w:eastAsiaTheme="minorEastAsia" w:cstheme="minorHAnsi"/>
          <w:sz w:val="24"/>
          <w:szCs w:val="24"/>
        </w:rPr>
        <w:t xml:space="preserve"> the sums </w:t>
      </w:r>
      <w:proofErr w:type="gramStart"/>
      <w:r w:rsidR="0021579D">
        <w:rPr>
          <w:rFonts w:eastAsiaTheme="minorEastAsia" w:cstheme="minorHAnsi"/>
          <w:sz w:val="24"/>
          <w:szCs w:val="24"/>
        </w:rPr>
        <w:t xml:space="preserve">assured </w:t>
      </w:r>
      <w:proofErr w:type="gramEnd"/>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S</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&lt;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S</m:t>
            </m:r>
          </m:e>
          <m:sub>
            <m:r>
              <w:rPr>
                <w:rFonts w:ascii="Cambria Math" w:eastAsiaTheme="minorEastAsia" w:hAnsi="Cambria Math" w:cstheme="minorHAnsi"/>
                <w:sz w:val="24"/>
                <w:szCs w:val="24"/>
              </w:rPr>
              <m:t>2</m:t>
            </m:r>
          </m:sub>
        </m:sSub>
      </m:oMath>
      <w:r w:rsidR="0021579D">
        <w:rPr>
          <w:rFonts w:eastAsiaTheme="minorEastAsia" w:cstheme="minorHAnsi"/>
          <w:sz w:val="24"/>
          <w:szCs w:val="24"/>
        </w:rPr>
        <w:t>, then to calculate the additional weight we solve</w:t>
      </w:r>
    </w:p>
    <w:p w:rsidR="0021579D" w:rsidRDefault="0021579D" w:rsidP="0021579D">
      <w:pPr>
        <w:jc w:val="right"/>
        <w:rPr>
          <w:rFonts w:eastAsiaTheme="minorEastAsia" w:cstheme="minorHAnsi"/>
          <w:sz w:val="24"/>
          <w:szCs w:val="24"/>
        </w:rPr>
      </w:p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S</m:t>
            </m:r>
          </m:e>
          <m:sub>
            <m:r>
              <w:rPr>
                <w:rFonts w:ascii="Cambria Math" w:eastAsiaTheme="minorEastAsia" w:hAnsi="Cambria Math" w:cstheme="minorHAnsi"/>
                <w:sz w:val="24"/>
                <w:szCs w:val="24"/>
              </w:rPr>
              <m:t>1</m:t>
            </m:r>
          </m:sub>
        </m:sSub>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e</m:t>
            </m:r>
          </m:e>
          <m:sup>
            <m:r>
              <w:rPr>
                <w:rFonts w:ascii="Cambria Math" w:eastAsiaTheme="minorEastAsia" w:hAnsi="Cambria Math" w:cstheme="minorHAnsi"/>
                <w:sz w:val="24"/>
                <w:szCs w:val="24"/>
              </w:rPr>
              <m:t>-</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μ</m:t>
                </m:r>
              </m:e>
              <m:sup>
                <m:r>
                  <w:rPr>
                    <w:rFonts w:ascii="Cambria Math" w:eastAsiaTheme="minorEastAsia" w:hAnsi="Cambria Math" w:cstheme="minorHAnsi"/>
                    <w:sz w:val="24"/>
                    <w:szCs w:val="24"/>
                  </w:rPr>
                  <m:t>1</m:t>
                </m:r>
              </m:sup>
            </m:sSup>
            <m:r>
              <w:rPr>
                <w:rFonts w:ascii="Cambria Math" w:eastAsiaTheme="minorEastAsia" w:hAnsi="Cambria Math" w:cstheme="minorHAnsi"/>
                <w:sz w:val="24"/>
                <w:szCs w:val="24"/>
              </w:rPr>
              <m:t>t</m:t>
            </m:r>
          </m:sup>
        </m:sSup>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S</m:t>
            </m:r>
          </m:e>
          <m:sub>
            <m:r>
              <w:rPr>
                <w:rFonts w:ascii="Cambria Math" w:eastAsiaTheme="minorEastAsia" w:hAnsi="Cambria Math" w:cstheme="minorHAnsi"/>
                <w:sz w:val="24"/>
                <w:szCs w:val="24"/>
              </w:rPr>
              <m:t>2</m:t>
            </m:r>
          </m:sub>
        </m:sSub>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e</m:t>
            </m:r>
          </m:e>
          <m:sup>
            <m:r>
              <w:rPr>
                <w:rFonts w:ascii="Cambria Math" w:eastAsiaTheme="minorEastAsia" w:hAnsi="Cambria Math" w:cstheme="minorHAnsi"/>
                <w:sz w:val="24"/>
                <w:szCs w:val="24"/>
              </w:rPr>
              <m:t>-</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μ</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t</m:t>
            </m:r>
          </m:sup>
        </m:sSup>
      </m:oMath>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(3.9)</w:t>
      </w:r>
    </w:p>
    <w:p w:rsidR="0021579D" w:rsidRDefault="0021579D" w:rsidP="0021579D">
      <w:pPr>
        <w:jc w:val="both"/>
        <w:rPr>
          <w:rFonts w:eastAsiaTheme="minorEastAsia" w:cstheme="minorHAnsi"/>
          <w:sz w:val="24"/>
          <w:szCs w:val="24"/>
        </w:rPr>
      </w:pPr>
      <w:proofErr w:type="gramStart"/>
      <w:r>
        <w:rPr>
          <w:rFonts w:eastAsiaTheme="minorEastAsia" w:cstheme="minorHAnsi"/>
          <w:sz w:val="24"/>
          <w:szCs w:val="24"/>
        </w:rPr>
        <w:t>to</w:t>
      </w:r>
      <w:proofErr w:type="gramEnd"/>
      <w:r>
        <w:rPr>
          <w:rFonts w:eastAsiaTheme="minorEastAsia" w:cstheme="minorHAnsi"/>
          <w:sz w:val="24"/>
          <w:szCs w:val="24"/>
        </w:rPr>
        <w:t xml:space="preserve"> get </w:t>
      </w:r>
    </w:p>
    <w:p w:rsidR="0021579D" w:rsidRDefault="0021579D" w:rsidP="0021579D">
      <w:pPr>
        <w:jc w:val="right"/>
        <w:rPr>
          <w:rFonts w:eastAsiaTheme="minorEastAsia" w:cstheme="minorHAnsi"/>
          <w:sz w:val="24"/>
          <w:szCs w:val="24"/>
        </w:rPr>
      </w:pPr>
      <m:oMath>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μ</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μ</m:t>
            </m:r>
          </m:e>
          <m:sup>
            <m:r>
              <w:rPr>
                <w:rFonts w:ascii="Cambria Math" w:eastAsiaTheme="minorEastAsia" w:hAnsi="Cambria Math" w:cstheme="minorHAnsi"/>
                <w:sz w:val="24"/>
                <w:szCs w:val="24"/>
              </w:rPr>
              <m:t>1</m:t>
            </m:r>
          </m:sup>
        </m:sSup>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m:t>
            </m:r>
          </m:num>
          <m:den>
            <m:r>
              <w:rPr>
                <w:rFonts w:ascii="Cambria Math" w:eastAsiaTheme="minorEastAsia" w:hAnsi="Cambria Math" w:cstheme="minorHAnsi"/>
                <w:sz w:val="24"/>
                <w:szCs w:val="24"/>
              </w:rPr>
              <m:t>t</m:t>
            </m:r>
          </m:den>
        </m:f>
        <m:r>
          <m:rPr>
            <m:sty m:val="p"/>
          </m:rPr>
          <w:rPr>
            <w:rFonts w:ascii="Cambria Math" w:eastAsiaTheme="minorEastAsia" w:hAnsi="Cambria Math" w:cstheme="minorHAnsi"/>
            <w:sz w:val="24"/>
            <w:szCs w:val="24"/>
          </w:rPr>
          <m:t>ln⁡</m:t>
        </m:r>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S</m:t>
                </m:r>
              </m:e>
              <m:sub>
                <m:r>
                  <w:rPr>
                    <w:rFonts w:ascii="Cambria Math" w:eastAsiaTheme="minorEastAsia" w:hAnsi="Cambria Math" w:cstheme="minorHAnsi"/>
                    <w:sz w:val="24"/>
                    <w:szCs w:val="24"/>
                  </w:rPr>
                  <m:t>2</m:t>
                </m:r>
              </m:sub>
            </m:sSub>
          </m:num>
          <m:den>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S</m:t>
                </m:r>
              </m:e>
              <m:sub>
                <m:r>
                  <w:rPr>
                    <w:rFonts w:ascii="Cambria Math" w:eastAsiaTheme="minorEastAsia" w:hAnsi="Cambria Math" w:cstheme="minorHAnsi"/>
                    <w:sz w:val="24"/>
                    <w:szCs w:val="24"/>
                  </w:rPr>
                  <m:t>1</m:t>
                </m:r>
              </m:sub>
            </m:sSub>
          </m:den>
        </m:f>
        <m:r>
          <w:rPr>
            <w:rFonts w:ascii="Cambria Math" w:eastAsiaTheme="minorEastAsia" w:hAnsi="Cambria Math" w:cstheme="minorHAnsi"/>
            <w:sz w:val="24"/>
            <w:szCs w:val="24"/>
          </w:rPr>
          <m:t>)</m:t>
        </m:r>
      </m:oMath>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(3.10)</w:t>
      </w:r>
    </w:p>
    <w:p w:rsidR="008862A3" w:rsidRDefault="009E786F" w:rsidP="0021579D">
      <w:pPr>
        <w:jc w:val="both"/>
        <w:rPr>
          <w:rFonts w:eastAsiaTheme="minorEastAsia" w:cstheme="minorHAnsi"/>
          <w:sz w:val="24"/>
          <w:szCs w:val="24"/>
        </w:rPr>
      </w:pPr>
      <w:r>
        <w:rPr>
          <w:rFonts w:eastAsiaTheme="minorEastAsia" w:cstheme="minorHAnsi"/>
          <w:sz w:val="24"/>
          <w:szCs w:val="24"/>
        </w:rPr>
        <w:t xml:space="preserve">The </w:t>
      </w:r>
      <w:r w:rsidR="008862A3">
        <w:rPr>
          <w:rFonts w:eastAsiaTheme="minorEastAsia" w:cstheme="minorHAnsi"/>
          <w:sz w:val="24"/>
          <w:szCs w:val="24"/>
        </w:rPr>
        <w:t>argument to view the portfolio as a single entity</w:t>
      </w:r>
      <w:r>
        <w:rPr>
          <w:rFonts w:eastAsiaTheme="minorEastAsia" w:cstheme="minorHAnsi"/>
          <w:sz w:val="24"/>
          <w:szCs w:val="24"/>
        </w:rPr>
        <w:t xml:space="preserve"> can now be expanded</w:t>
      </w:r>
      <w:r w:rsidR="008862A3">
        <w:rPr>
          <w:rFonts w:eastAsiaTheme="minorEastAsia" w:cstheme="minorHAnsi"/>
          <w:sz w:val="24"/>
          <w:szCs w:val="24"/>
        </w:rPr>
        <w:t xml:space="preserve">.  Consider two lives </w:t>
      </w:r>
      <m:oMath>
        <m:r>
          <w:rPr>
            <w:rFonts w:ascii="Cambria Math" w:eastAsiaTheme="minorEastAsia" w:hAnsi="Cambria Math" w:cstheme="minorHAnsi"/>
            <w:sz w:val="24"/>
            <w:szCs w:val="24"/>
          </w:rPr>
          <m:t>x</m:t>
        </m:r>
      </m:oMath>
      <w:r w:rsidR="008862A3">
        <w:rPr>
          <w:rFonts w:eastAsiaTheme="minorEastAsia" w:cstheme="minorHAnsi"/>
          <w:sz w:val="24"/>
          <w:szCs w:val="24"/>
        </w:rPr>
        <w:t xml:space="preserve"> and </w:t>
      </w:r>
      <m:oMath>
        <m:r>
          <w:rPr>
            <w:rFonts w:ascii="Cambria Math" w:eastAsiaTheme="minorEastAsia" w:hAnsi="Cambria Math" w:cstheme="minorHAnsi"/>
            <w:sz w:val="24"/>
            <w:szCs w:val="24"/>
          </w:rPr>
          <m:t>y,</m:t>
        </m:r>
      </m:oMath>
      <w:r w:rsidR="008862A3">
        <w:rPr>
          <w:rFonts w:eastAsiaTheme="minorEastAsia" w:cstheme="minorHAnsi"/>
          <w:sz w:val="24"/>
          <w:szCs w:val="24"/>
        </w:rPr>
        <w:t xml:space="preserve"> then we know </w:t>
      </w:r>
      <w:proofErr w:type="gramStart"/>
      <w:r w:rsidR="008862A3">
        <w:rPr>
          <w:rFonts w:eastAsiaTheme="minorEastAsia" w:cstheme="minorHAnsi"/>
          <w:sz w:val="24"/>
          <w:szCs w:val="24"/>
        </w:rPr>
        <w:t xml:space="preserve">that </w:t>
      </w:r>
      <w:proofErr w:type="gramEnd"/>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μ</m:t>
            </m:r>
          </m:e>
          <m:sub>
            <m:r>
              <w:rPr>
                <w:rFonts w:ascii="Cambria Math" w:eastAsiaTheme="minorEastAsia" w:hAnsi="Cambria Math" w:cstheme="minorHAnsi"/>
                <w:sz w:val="24"/>
                <w:szCs w:val="24"/>
              </w:rPr>
              <m:t>xy</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μ</m:t>
            </m:r>
          </m:e>
          <m:sub>
            <m:r>
              <w:rPr>
                <w:rFonts w:ascii="Cambria Math" w:eastAsiaTheme="minorEastAsia" w:hAnsi="Cambria Math" w:cstheme="minorHAnsi"/>
                <w:sz w:val="24"/>
                <w:szCs w:val="24"/>
              </w:rPr>
              <m:t>x</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μ</m:t>
            </m:r>
          </m:e>
          <m:sub>
            <m:r>
              <w:rPr>
                <w:rFonts w:ascii="Cambria Math" w:eastAsiaTheme="minorEastAsia" w:hAnsi="Cambria Math" w:cstheme="minorHAnsi"/>
                <w:sz w:val="24"/>
                <w:szCs w:val="24"/>
              </w:rPr>
              <m:t>y</m:t>
            </m:r>
          </m:sub>
        </m:sSub>
      </m:oMath>
      <w:r w:rsidR="008862A3">
        <w:rPr>
          <w:rFonts w:eastAsiaTheme="minorEastAsia" w:cstheme="minorHAnsi"/>
          <w:sz w:val="24"/>
          <w:szCs w:val="24"/>
        </w:rPr>
        <w:t xml:space="preserve">.  The theory holds even if lives </w:t>
      </w:r>
      <m:oMath>
        <m:r>
          <w:rPr>
            <w:rFonts w:ascii="Cambria Math" w:eastAsiaTheme="minorEastAsia" w:hAnsi="Cambria Math" w:cstheme="minorHAnsi"/>
            <w:sz w:val="24"/>
            <w:szCs w:val="24"/>
          </w:rPr>
          <m:t>x</m:t>
        </m:r>
      </m:oMath>
      <w:r w:rsidR="008862A3">
        <w:rPr>
          <w:rFonts w:eastAsiaTheme="minorEastAsia" w:cstheme="minorHAnsi"/>
          <w:sz w:val="24"/>
          <w:szCs w:val="24"/>
        </w:rPr>
        <w:t xml:space="preserve"> and </w:t>
      </w:r>
      <m:oMath>
        <m:r>
          <w:rPr>
            <w:rFonts w:ascii="Cambria Math" w:eastAsiaTheme="minorEastAsia" w:hAnsi="Cambria Math" w:cstheme="minorHAnsi"/>
            <w:sz w:val="24"/>
            <w:szCs w:val="24"/>
          </w:rPr>
          <m:t>y</m:t>
        </m:r>
      </m:oMath>
      <w:r w:rsidR="008862A3">
        <w:rPr>
          <w:rFonts w:eastAsiaTheme="minorEastAsia" w:cstheme="minorHAnsi"/>
          <w:sz w:val="24"/>
          <w:szCs w:val="24"/>
        </w:rPr>
        <w:t xml:space="preserve"> are different in year of birth, sex, </w:t>
      </w:r>
      <w:proofErr w:type="gramStart"/>
      <w:r w:rsidR="008862A3">
        <w:rPr>
          <w:rFonts w:eastAsiaTheme="minorEastAsia" w:cstheme="minorHAnsi"/>
          <w:sz w:val="24"/>
          <w:szCs w:val="24"/>
        </w:rPr>
        <w:t>age</w:t>
      </w:r>
      <w:proofErr w:type="gramEnd"/>
      <w:r w:rsidR="008862A3">
        <w:rPr>
          <w:rFonts w:eastAsiaTheme="minorEastAsia" w:cstheme="minorHAnsi"/>
          <w:sz w:val="24"/>
          <w:szCs w:val="24"/>
        </w:rPr>
        <w:t xml:space="preserve"> and smoker status. We can </w:t>
      </w:r>
      <w:proofErr w:type="spellStart"/>
      <w:r w:rsidR="008862A3">
        <w:rPr>
          <w:rFonts w:eastAsiaTheme="minorEastAsia" w:cstheme="minorHAnsi"/>
          <w:sz w:val="24"/>
          <w:szCs w:val="24"/>
        </w:rPr>
        <w:t>generalise</w:t>
      </w:r>
      <w:proofErr w:type="spellEnd"/>
      <w:r w:rsidR="008862A3">
        <w:rPr>
          <w:rFonts w:eastAsiaTheme="minorEastAsia" w:cstheme="minorHAnsi"/>
          <w:sz w:val="24"/>
          <w:szCs w:val="24"/>
        </w:rPr>
        <w:t xml:space="preserve"> the idea as follows: </w:t>
      </w:r>
      <w:proofErr w:type="gramStart"/>
      <w:r w:rsidR="008862A3">
        <w:rPr>
          <w:rFonts w:eastAsiaTheme="minorEastAsia" w:cstheme="minorHAnsi"/>
          <w:sz w:val="24"/>
          <w:szCs w:val="24"/>
        </w:rPr>
        <w:t xml:space="preserve">let  </w:t>
      </w:r>
      <w:proofErr w:type="gramEnd"/>
      <m:oMath>
        <m:r>
          <w:rPr>
            <w:rFonts w:ascii="Cambria Math" w:eastAsiaTheme="minorEastAsia" w:hAnsi="Cambria Math" w:cstheme="minorHAnsi"/>
            <w:sz w:val="24"/>
            <w:szCs w:val="24"/>
          </w:rPr>
          <w:lastRenderedPageBreak/>
          <m:t>X={</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N</m:t>
            </m:r>
          </m:sub>
        </m:sSub>
        <m:r>
          <w:rPr>
            <w:rFonts w:ascii="Cambria Math" w:eastAsiaTheme="minorEastAsia" w:hAnsi="Cambria Math" w:cstheme="minorHAnsi"/>
            <w:sz w:val="24"/>
            <w:szCs w:val="24"/>
          </w:rPr>
          <m:t xml:space="preserve">} </m:t>
        </m:r>
      </m:oMath>
      <w:r w:rsidR="008862A3">
        <w:rPr>
          <w:rFonts w:eastAsiaTheme="minorEastAsia" w:cstheme="minorHAnsi"/>
          <w:sz w:val="24"/>
          <w:szCs w:val="24"/>
        </w:rPr>
        <w:t xml:space="preserve">then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μ</m:t>
            </m:r>
          </m:e>
          <m:sub>
            <m:r>
              <w:rPr>
                <w:rFonts w:ascii="Cambria Math" w:eastAsiaTheme="minorEastAsia" w:hAnsi="Cambria Math" w:cstheme="minorHAnsi"/>
                <w:sz w:val="24"/>
                <w:szCs w:val="24"/>
              </w:rPr>
              <m:t>X</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μ</m:t>
            </m:r>
          </m:e>
          <m:sub>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1</m:t>
                </m:r>
              </m:sub>
            </m:sSub>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μ</m:t>
            </m:r>
          </m:e>
          <m:sub>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N</m:t>
                </m:r>
              </m:sub>
            </m:sSub>
          </m:sub>
        </m:sSub>
      </m:oMath>
      <w:r w:rsidR="008862A3">
        <w:rPr>
          <w:rFonts w:eastAsiaTheme="minorEastAsia" w:cstheme="minorHAnsi"/>
          <w:sz w:val="24"/>
          <w:szCs w:val="24"/>
        </w:rPr>
        <w:t>.</w:t>
      </w:r>
      <w:r w:rsidR="0021579D">
        <w:rPr>
          <w:rFonts w:eastAsiaTheme="minorEastAsia" w:cstheme="minorHAnsi"/>
          <w:sz w:val="24"/>
          <w:szCs w:val="24"/>
        </w:rPr>
        <w:t xml:space="preserve"> This could incorporate the weights in (3.10) to allow for differences in sums assured.</w:t>
      </w:r>
    </w:p>
    <w:p w:rsidR="0021579D" w:rsidRDefault="0021579D" w:rsidP="0021579D">
      <w:pPr>
        <w:pStyle w:val="Heading2"/>
        <w:rPr>
          <w:rFonts w:eastAsiaTheme="minorEastAsia"/>
        </w:rPr>
      </w:pPr>
      <w:bookmarkStart w:id="12" w:name="_Toc374709715"/>
      <w:r>
        <w:rPr>
          <w:rFonts w:eastAsiaTheme="minorEastAsia"/>
        </w:rPr>
        <w:t>3.2 The Longevity Hedge Ratio (LHR)</w:t>
      </w:r>
      <w:bookmarkEnd w:id="12"/>
      <w:r>
        <w:rPr>
          <w:rFonts w:eastAsiaTheme="minorEastAsia"/>
        </w:rPr>
        <w:t xml:space="preserve"> </w:t>
      </w:r>
    </w:p>
    <w:p w:rsidR="008862A3" w:rsidRPr="008862A3" w:rsidRDefault="0021579D" w:rsidP="008B300C">
      <w:pPr>
        <w:jc w:val="both"/>
        <w:rPr>
          <w:rFonts w:eastAsiaTheme="minorEastAsia" w:cstheme="minorHAnsi"/>
          <w:sz w:val="24"/>
          <w:szCs w:val="24"/>
        </w:rPr>
      </w:pPr>
      <w:r>
        <w:rPr>
          <w:rFonts w:eastAsiaTheme="minorEastAsia" w:cstheme="minorHAnsi"/>
          <w:sz w:val="24"/>
          <w:szCs w:val="24"/>
        </w:rPr>
        <w:t xml:space="preserve">The theory of section 3.1 allows us to develop approximations for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A</m:t>
            </m:r>
          </m:e>
          <m:sub>
            <m:r>
              <w:rPr>
                <w:rFonts w:ascii="Cambria Math" w:eastAsiaTheme="minorEastAsia" w:hAnsi="Cambria Math" w:cstheme="minorHAnsi"/>
                <w:sz w:val="24"/>
                <w:szCs w:val="24"/>
              </w:rPr>
              <m:t>X</m:t>
            </m:r>
          </m:sub>
        </m:sSub>
      </m:oMath>
      <w:r w:rsidR="008862A3">
        <w:rPr>
          <w:rFonts w:eastAsiaTheme="minorEastAsia" w:cstheme="minorHAnsi"/>
          <w:sz w:val="24"/>
          <w:szCs w:val="24"/>
        </w:rPr>
        <w:t xml:space="preserve"> and </w:t>
      </w:r>
      <m:oMath>
        <m:sSub>
          <m:sSubPr>
            <m:ctrlPr>
              <w:rPr>
                <w:rFonts w:ascii="Cambria Math" w:eastAsiaTheme="minorEastAsia" w:hAnsi="Cambria Math" w:cstheme="minorHAnsi"/>
                <w:i/>
                <w:sz w:val="24"/>
                <w:szCs w:val="24"/>
              </w:rPr>
            </m:ctrlPr>
          </m:sSubPr>
          <m:e>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a</m:t>
                </m:r>
              </m:e>
            </m:acc>
          </m:e>
          <m:sub>
            <m:r>
              <w:rPr>
                <w:rFonts w:ascii="Cambria Math" w:eastAsiaTheme="minorEastAsia" w:hAnsi="Cambria Math" w:cstheme="minorHAnsi"/>
                <w:sz w:val="24"/>
                <w:szCs w:val="24"/>
              </w:rPr>
              <m:t>X</m:t>
            </m:r>
          </m:sub>
        </m:sSub>
      </m:oMath>
      <w:r w:rsidR="008862A3">
        <w:rPr>
          <w:rFonts w:eastAsiaTheme="minorEastAsia" w:cstheme="minorHAnsi"/>
          <w:sz w:val="24"/>
          <w:szCs w:val="24"/>
        </w:rPr>
        <w:t xml:space="preserve"> for a total portfolio with some grouping characteristics. The Longevity Hedge Ratio </w:t>
      </w:r>
      <w:r w:rsidR="008A5C17">
        <w:rPr>
          <w:rFonts w:eastAsiaTheme="minorEastAsia" w:cstheme="minorHAnsi"/>
          <w:sz w:val="24"/>
          <w:szCs w:val="24"/>
        </w:rPr>
        <w:t xml:space="preserve">(LHR) </w:t>
      </w:r>
      <w:r w:rsidR="008862A3">
        <w:rPr>
          <w:rFonts w:eastAsiaTheme="minorEastAsia" w:cstheme="minorHAnsi"/>
          <w:sz w:val="24"/>
          <w:szCs w:val="24"/>
        </w:rPr>
        <w:t>can now be introduced</w:t>
      </w:r>
      <w:r w:rsidR="008A5C17">
        <w:rPr>
          <w:rFonts w:eastAsiaTheme="minorEastAsia" w:cstheme="minorHAnsi"/>
          <w:sz w:val="24"/>
          <w:szCs w:val="24"/>
        </w:rPr>
        <w:t>, building on</w:t>
      </w:r>
      <w:r w:rsidR="009E786F">
        <w:rPr>
          <w:rFonts w:eastAsiaTheme="minorEastAsia" w:cstheme="minorHAnsi"/>
          <w:sz w:val="24"/>
          <w:szCs w:val="24"/>
        </w:rPr>
        <w:t>to</w:t>
      </w:r>
      <w:r w:rsidR="008A5C17">
        <w:rPr>
          <w:rFonts w:eastAsiaTheme="minorEastAsia" w:cstheme="minorHAnsi"/>
          <w:sz w:val="24"/>
          <w:szCs w:val="24"/>
        </w:rPr>
        <w:t xml:space="preserve"> the above.</w:t>
      </w:r>
    </w:p>
    <w:p w:rsidR="00DD4A41" w:rsidRPr="008A5C17" w:rsidRDefault="008A5C17" w:rsidP="0021579D">
      <w:pPr>
        <w:jc w:val="right"/>
        <w:rPr>
          <w:rFonts w:eastAsiaTheme="minorEastAsia"/>
          <w:sz w:val="24"/>
          <w:szCs w:val="24"/>
        </w:rPr>
      </w:pPr>
      <m:oMath>
        <m:r>
          <w:rPr>
            <w:rFonts w:ascii="Cambria Math" w:hAnsi="Cambria Math" w:cs="URWPalladioL-Roma"/>
            <w:sz w:val="24"/>
            <w:szCs w:val="24"/>
          </w:rPr>
          <m:t>LHR=#Assurances required per annuity=</m:t>
        </m:r>
        <m:f>
          <m:fPr>
            <m:ctrlPr>
              <w:rPr>
                <w:rFonts w:ascii="Cambria Math" w:hAnsi="Cambria Math" w:cs="URWPalladioL-Roma"/>
                <w:i/>
                <w:sz w:val="24"/>
                <w:szCs w:val="24"/>
              </w:rPr>
            </m:ctrlPr>
          </m:fPr>
          <m:num>
            <m:d>
              <m:dPr>
                <m:begChr m:val="|"/>
                <m:endChr m:val="|"/>
                <m:ctrlPr>
                  <w:rPr>
                    <w:rFonts w:ascii="Cambria Math" w:hAnsi="Cambria Math" w:cs="URWPalladioL-Roma"/>
                    <w:i/>
                    <w:sz w:val="24"/>
                    <w:szCs w:val="24"/>
                  </w:rPr>
                </m:ctrlPr>
              </m:dPr>
              <m:e>
                <m:r>
                  <w:rPr>
                    <w:rFonts w:ascii="Cambria Math" w:hAnsi="Cambria Math" w:cs="URWPalladioL-Roma"/>
                    <w:sz w:val="24"/>
                    <w:szCs w:val="24"/>
                  </w:rPr>
                  <m:t>Change in annuity por</m:t>
                </m:r>
                <m:r>
                  <w:rPr>
                    <w:rFonts w:ascii="Cambria Math" w:hAnsi="Cambria Math" w:cs="URWPalladioL-Roma"/>
                    <w:sz w:val="24"/>
                    <w:szCs w:val="24"/>
                  </w:rPr>
                  <m:t>tfolio PV</m:t>
                </m:r>
              </m:e>
            </m:d>
          </m:num>
          <m:den>
            <m:d>
              <m:dPr>
                <m:begChr m:val="|"/>
                <m:endChr m:val="|"/>
                <m:ctrlPr>
                  <w:rPr>
                    <w:rFonts w:ascii="Cambria Math" w:hAnsi="Cambria Math" w:cs="URWPalladioL-Roma"/>
                    <w:i/>
                    <w:sz w:val="24"/>
                    <w:szCs w:val="24"/>
                  </w:rPr>
                </m:ctrlPr>
              </m:dPr>
              <m:e>
                <m:r>
                  <w:rPr>
                    <w:rFonts w:ascii="Cambria Math" w:hAnsi="Cambria Math" w:cs="URWPalladioL-Roma"/>
                    <w:sz w:val="24"/>
                    <w:szCs w:val="24"/>
                  </w:rPr>
                  <m:t>Change in assurance portfolio PV</m:t>
                </m:r>
              </m:e>
            </m:d>
          </m:den>
        </m:f>
      </m:oMath>
      <w:r w:rsidR="0021579D">
        <w:rPr>
          <w:rFonts w:eastAsiaTheme="minorEastAsia"/>
          <w:sz w:val="24"/>
          <w:szCs w:val="24"/>
        </w:rPr>
        <w:t xml:space="preserve"> </w:t>
      </w:r>
      <w:r w:rsidR="0021579D">
        <w:rPr>
          <w:rFonts w:eastAsiaTheme="minorEastAsia"/>
          <w:sz w:val="24"/>
          <w:szCs w:val="24"/>
        </w:rPr>
        <w:tab/>
        <w:t>(3.11)</w:t>
      </w:r>
    </w:p>
    <w:p w:rsidR="008A5C17" w:rsidRPr="00182692" w:rsidRDefault="008A5C17" w:rsidP="008B300C">
      <w:pPr>
        <w:jc w:val="both"/>
      </w:pPr>
      <w:r>
        <w:rPr>
          <w:rFonts w:eastAsiaTheme="minorEastAsia"/>
          <w:sz w:val="24"/>
          <w:szCs w:val="24"/>
        </w:rPr>
        <w:t>The LHR could in this way be applied to individual lives, or portfolios of lives. It considers the change in value of the assurance portfolio compared to a change in value of the annuity portfolio after a change in mortality of some kind.  Each portfolio PV could be calculated on its own basis, with the only common factor the improvement in mortality over all ages.</w:t>
      </w:r>
      <w:r w:rsidR="0061173B">
        <w:rPr>
          <w:rFonts w:eastAsiaTheme="minorEastAsia"/>
          <w:sz w:val="24"/>
          <w:szCs w:val="24"/>
        </w:rPr>
        <w:t xml:space="preserve"> In (3.11) the LHR would not be defined if there were no change in the assurance portfolio (division by zero).</w:t>
      </w:r>
    </w:p>
    <w:p w:rsidR="00C63946" w:rsidRDefault="001C1AA2" w:rsidP="001C1AA2">
      <w:pPr>
        <w:pStyle w:val="Heading2"/>
      </w:pPr>
      <w:bookmarkStart w:id="13" w:name="_Toc374709716"/>
      <w:r>
        <w:t>3.</w:t>
      </w:r>
      <w:r w:rsidR="0021579D">
        <w:t>3</w:t>
      </w:r>
      <w:r>
        <w:t xml:space="preserve"> </w:t>
      </w:r>
      <w:r w:rsidR="00C63946">
        <w:t>Assumptions</w:t>
      </w:r>
      <w:r w:rsidR="006F5D8D">
        <w:t xml:space="preserve"> </w:t>
      </w:r>
      <w:r w:rsidR="006D3E21">
        <w:t>used in LHR calculation</w:t>
      </w:r>
      <w:bookmarkEnd w:id="13"/>
    </w:p>
    <w:p w:rsidR="00C63946" w:rsidRDefault="00C63946" w:rsidP="005264DA">
      <w:pPr>
        <w:spacing w:line="360" w:lineRule="auto"/>
        <w:jc w:val="both"/>
        <w:rPr>
          <w:sz w:val="24"/>
          <w:szCs w:val="24"/>
        </w:rPr>
      </w:pPr>
      <w:r>
        <w:rPr>
          <w:sz w:val="24"/>
          <w:szCs w:val="24"/>
        </w:rPr>
        <w:t>The following assumptions were made</w:t>
      </w:r>
      <w:r w:rsidR="008A5C17">
        <w:rPr>
          <w:sz w:val="24"/>
          <w:szCs w:val="24"/>
        </w:rPr>
        <w:t xml:space="preserve"> to illustrate the method</w:t>
      </w:r>
      <w:r>
        <w:rPr>
          <w:sz w:val="24"/>
          <w:szCs w:val="24"/>
        </w:rPr>
        <w:t>:</w:t>
      </w:r>
    </w:p>
    <w:p w:rsidR="00C63946" w:rsidRDefault="00311072" w:rsidP="006F6849">
      <w:pPr>
        <w:pStyle w:val="ListParagraph"/>
        <w:numPr>
          <w:ilvl w:val="0"/>
          <w:numId w:val="12"/>
        </w:numPr>
        <w:spacing w:line="360" w:lineRule="auto"/>
        <w:jc w:val="both"/>
        <w:rPr>
          <w:sz w:val="24"/>
          <w:szCs w:val="24"/>
        </w:rPr>
      </w:pPr>
      <w:r>
        <w:rPr>
          <w:sz w:val="24"/>
          <w:szCs w:val="24"/>
        </w:rPr>
        <w:t>The term structure of i</w:t>
      </w:r>
      <w:r w:rsidR="00C63946">
        <w:rPr>
          <w:sz w:val="24"/>
          <w:szCs w:val="24"/>
        </w:rPr>
        <w:t xml:space="preserve">nterest rates </w:t>
      </w:r>
      <w:r>
        <w:rPr>
          <w:sz w:val="24"/>
          <w:szCs w:val="24"/>
        </w:rPr>
        <w:t xml:space="preserve">is flat </w:t>
      </w:r>
      <w:r w:rsidR="00D35FAA">
        <w:rPr>
          <w:sz w:val="24"/>
          <w:szCs w:val="24"/>
        </w:rPr>
        <w:t>at 6%</w:t>
      </w:r>
      <w:r w:rsidR="008A5C17">
        <w:rPr>
          <w:sz w:val="24"/>
          <w:szCs w:val="24"/>
        </w:rPr>
        <w:t>, a variable rate incorporating the full term structure if interest rates could also be used.</w:t>
      </w:r>
    </w:p>
    <w:p w:rsidR="00D35FAA" w:rsidRDefault="00D35FAA" w:rsidP="006F6849">
      <w:pPr>
        <w:pStyle w:val="ListParagraph"/>
        <w:numPr>
          <w:ilvl w:val="0"/>
          <w:numId w:val="12"/>
        </w:numPr>
        <w:spacing w:line="360" w:lineRule="auto"/>
        <w:jc w:val="both"/>
        <w:rPr>
          <w:sz w:val="24"/>
          <w:szCs w:val="24"/>
        </w:rPr>
      </w:pPr>
      <w:r>
        <w:rPr>
          <w:sz w:val="24"/>
          <w:szCs w:val="24"/>
        </w:rPr>
        <w:t>Death benefits are paid at the end of the year of death</w:t>
      </w:r>
      <w:r w:rsidR="008A5C17">
        <w:rPr>
          <w:sz w:val="24"/>
          <w:szCs w:val="24"/>
        </w:rPr>
        <w:t>.</w:t>
      </w:r>
    </w:p>
    <w:p w:rsidR="006220C3" w:rsidRDefault="006220C3" w:rsidP="006F6849">
      <w:pPr>
        <w:pStyle w:val="ListParagraph"/>
        <w:numPr>
          <w:ilvl w:val="0"/>
          <w:numId w:val="12"/>
        </w:numPr>
        <w:spacing w:line="360" w:lineRule="auto"/>
        <w:jc w:val="both"/>
        <w:rPr>
          <w:sz w:val="24"/>
          <w:szCs w:val="24"/>
        </w:rPr>
      </w:pPr>
      <w:r>
        <w:rPr>
          <w:sz w:val="24"/>
          <w:szCs w:val="24"/>
        </w:rPr>
        <w:t>A male life aged 25 for the assurance and male life aged 65 for the annuity.</w:t>
      </w:r>
    </w:p>
    <w:p w:rsidR="00D35FAA" w:rsidRDefault="00D35FAA" w:rsidP="006F6849">
      <w:pPr>
        <w:pStyle w:val="ListParagraph"/>
        <w:numPr>
          <w:ilvl w:val="0"/>
          <w:numId w:val="12"/>
        </w:numPr>
        <w:spacing w:line="360" w:lineRule="auto"/>
        <w:jc w:val="both"/>
        <w:rPr>
          <w:sz w:val="24"/>
          <w:szCs w:val="24"/>
        </w:rPr>
      </w:pPr>
      <w:r>
        <w:rPr>
          <w:sz w:val="24"/>
          <w:szCs w:val="24"/>
        </w:rPr>
        <w:t xml:space="preserve">Annuity payments are </w:t>
      </w:r>
      <w:r w:rsidR="006F5D8D">
        <w:rPr>
          <w:sz w:val="24"/>
          <w:szCs w:val="24"/>
        </w:rPr>
        <w:t xml:space="preserve">annual and </w:t>
      </w:r>
      <w:r>
        <w:rPr>
          <w:sz w:val="24"/>
          <w:szCs w:val="24"/>
        </w:rPr>
        <w:t>made</w:t>
      </w:r>
      <w:r w:rsidR="00311072">
        <w:rPr>
          <w:sz w:val="24"/>
          <w:szCs w:val="24"/>
        </w:rPr>
        <w:t xml:space="preserve"> at the beginning of every year.</w:t>
      </w:r>
    </w:p>
    <w:p w:rsidR="00C63946" w:rsidRDefault="00303F1B" w:rsidP="006F6849">
      <w:pPr>
        <w:pStyle w:val="ListParagraph"/>
        <w:numPr>
          <w:ilvl w:val="0"/>
          <w:numId w:val="12"/>
        </w:numPr>
        <w:spacing w:line="360" w:lineRule="auto"/>
        <w:jc w:val="both"/>
        <w:rPr>
          <w:sz w:val="24"/>
          <w:szCs w:val="24"/>
        </w:rPr>
      </w:pPr>
      <w:r>
        <w:rPr>
          <w:sz w:val="24"/>
          <w:szCs w:val="24"/>
        </w:rPr>
        <w:t>Mortality rates used when pricing annuities follow those specified in the PMA80 and PFA80 tables, for pensioner’s mortality, for males and females respectively.</w:t>
      </w:r>
      <w:r w:rsidR="00311072">
        <w:rPr>
          <w:sz w:val="24"/>
          <w:szCs w:val="24"/>
        </w:rPr>
        <w:t xml:space="preserve"> Other mortality tables can also be used.</w:t>
      </w:r>
    </w:p>
    <w:p w:rsidR="00303F1B" w:rsidRDefault="00303F1B" w:rsidP="006F6849">
      <w:pPr>
        <w:pStyle w:val="ListParagraph"/>
        <w:numPr>
          <w:ilvl w:val="0"/>
          <w:numId w:val="12"/>
        </w:numPr>
        <w:spacing w:line="360" w:lineRule="auto"/>
        <w:jc w:val="both"/>
        <w:rPr>
          <w:sz w:val="24"/>
          <w:szCs w:val="24"/>
        </w:rPr>
      </w:pPr>
      <w:r>
        <w:rPr>
          <w:sz w:val="24"/>
          <w:szCs w:val="24"/>
        </w:rPr>
        <w:t>Mortality rates used when pricing life assurances follow those specified in the AM80 and AF80 tables, for males and females respectively.</w:t>
      </w:r>
      <w:r w:rsidR="00311072">
        <w:rPr>
          <w:sz w:val="24"/>
          <w:szCs w:val="24"/>
        </w:rPr>
        <w:t xml:space="preserve"> Other mortality tables can also be used.</w:t>
      </w:r>
    </w:p>
    <w:p w:rsidR="00651234" w:rsidRPr="00C63946" w:rsidRDefault="00651234" w:rsidP="006F6849">
      <w:pPr>
        <w:pStyle w:val="ListParagraph"/>
        <w:numPr>
          <w:ilvl w:val="0"/>
          <w:numId w:val="12"/>
        </w:numPr>
        <w:spacing w:line="360" w:lineRule="auto"/>
        <w:jc w:val="both"/>
        <w:rPr>
          <w:sz w:val="24"/>
          <w:szCs w:val="24"/>
        </w:rPr>
      </w:pPr>
      <w:r>
        <w:rPr>
          <w:sz w:val="24"/>
          <w:szCs w:val="24"/>
        </w:rPr>
        <w:t>Mortality changes by a constant annual compound percentage over all l</w:t>
      </w:r>
      <w:r w:rsidR="00D35FAA">
        <w:rPr>
          <w:sz w:val="24"/>
          <w:szCs w:val="24"/>
        </w:rPr>
        <w:t>ives</w:t>
      </w:r>
      <w:r w:rsidR="006F5D8D">
        <w:rPr>
          <w:sz w:val="24"/>
          <w:szCs w:val="24"/>
        </w:rPr>
        <w:t xml:space="preserve"> and all calendar cohorts</w:t>
      </w:r>
      <w:r w:rsidR="008A5C17">
        <w:rPr>
          <w:sz w:val="24"/>
          <w:szCs w:val="24"/>
        </w:rPr>
        <w:t>.</w:t>
      </w:r>
      <w:r w:rsidR="00D35FAA">
        <w:rPr>
          <w:sz w:val="24"/>
          <w:szCs w:val="24"/>
        </w:rPr>
        <w:t xml:space="preserve"> </w:t>
      </w:r>
      <w:r w:rsidR="009E786F">
        <w:rPr>
          <w:sz w:val="24"/>
          <w:szCs w:val="24"/>
        </w:rPr>
        <w:t>This could also be relaxed to allow for exact changes.</w:t>
      </w:r>
    </w:p>
    <w:p w:rsidR="006F5D8D" w:rsidRDefault="00A06E62" w:rsidP="005264DA">
      <w:pPr>
        <w:spacing w:line="360" w:lineRule="auto"/>
        <w:jc w:val="both"/>
        <w:rPr>
          <w:sz w:val="24"/>
          <w:szCs w:val="24"/>
        </w:rPr>
      </w:pPr>
      <w:r w:rsidRPr="000F48CF">
        <w:rPr>
          <w:sz w:val="24"/>
          <w:szCs w:val="24"/>
        </w:rPr>
        <w:lastRenderedPageBreak/>
        <w:t xml:space="preserve">In the context of this </w:t>
      </w:r>
      <w:r w:rsidR="000F076F">
        <w:rPr>
          <w:sz w:val="24"/>
          <w:szCs w:val="24"/>
        </w:rPr>
        <w:t>paper</w:t>
      </w:r>
      <w:r w:rsidRPr="000F48CF">
        <w:rPr>
          <w:sz w:val="24"/>
          <w:szCs w:val="24"/>
        </w:rPr>
        <w:t xml:space="preserve"> one unit of a whole of life annuity to a life currently aged x, denoted </w:t>
      </w:r>
      <w:proofErr w:type="gramStart"/>
      <w:r w:rsidRPr="000F48CF">
        <w:rPr>
          <w:sz w:val="24"/>
          <w:szCs w:val="24"/>
        </w:rPr>
        <w:t xml:space="preserve">as </w:t>
      </w:r>
      <w:proofErr w:type="gramEnd"/>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a</m:t>
                </m:r>
              </m:e>
            </m:acc>
          </m:e>
          <m:sub>
            <m:r>
              <w:rPr>
                <w:rFonts w:ascii="Cambria Math" w:hAnsi="Cambria Math"/>
                <w:sz w:val="24"/>
                <w:szCs w:val="24"/>
              </w:rPr>
              <m:t>x</m:t>
            </m:r>
          </m:sub>
        </m:sSub>
      </m:oMath>
      <w:r w:rsidRPr="000F48CF">
        <w:rPr>
          <w:rFonts w:eastAsiaTheme="minorEastAsia"/>
          <w:sz w:val="24"/>
          <w:szCs w:val="24"/>
        </w:rPr>
        <w:t>,</w:t>
      </w:r>
      <w:r w:rsidRPr="000F48CF">
        <w:rPr>
          <w:sz w:val="24"/>
          <w:szCs w:val="24"/>
        </w:rPr>
        <w:t xml:space="preserve"> is defined as a product that pays an amount of 1 at the beginning of each year provided the life is then alive. </w:t>
      </w:r>
    </w:p>
    <w:p w:rsidR="000F076F" w:rsidRDefault="00A06E62" w:rsidP="005264DA">
      <w:pPr>
        <w:spacing w:line="360" w:lineRule="auto"/>
        <w:jc w:val="both"/>
        <w:rPr>
          <w:rFonts w:eastAsiaTheme="minorEastAsia"/>
          <w:sz w:val="24"/>
          <w:szCs w:val="24"/>
        </w:rPr>
      </w:pPr>
      <w:r w:rsidRPr="000F48CF">
        <w:rPr>
          <w:sz w:val="24"/>
          <w:szCs w:val="24"/>
        </w:rPr>
        <w:t xml:space="preserve">Furthermore, one unit of a life assurance to a life currently aged x, denoted </w:t>
      </w:r>
      <w:proofErr w:type="gramStart"/>
      <w:r w:rsidRPr="000F48CF">
        <w:rPr>
          <w:sz w:val="24"/>
          <w:szCs w:val="24"/>
        </w:rPr>
        <w:t xml:space="preserve">as </w:t>
      </w:r>
      <w:proofErr w:type="gramEnd"/>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x</m:t>
            </m:r>
          </m:sub>
        </m:sSub>
      </m:oMath>
      <w:r w:rsidRPr="000F48CF">
        <w:rPr>
          <w:rFonts w:eastAsiaTheme="minorEastAsia"/>
          <w:sz w:val="24"/>
          <w:szCs w:val="24"/>
        </w:rPr>
        <w:t>, is defined as a product that pays an amount of 1 at the end of the year of death.</w:t>
      </w:r>
    </w:p>
    <w:p w:rsidR="000F076F" w:rsidRPr="000F076F" w:rsidRDefault="001C1AA2" w:rsidP="001C1AA2">
      <w:pPr>
        <w:pStyle w:val="Heading2"/>
      </w:pPr>
      <w:bookmarkStart w:id="14" w:name="_Toc374709717"/>
      <w:r>
        <w:t>3.</w:t>
      </w:r>
      <w:r w:rsidR="006D3E21">
        <w:t>4</w:t>
      </w:r>
      <w:r>
        <w:t xml:space="preserve"> </w:t>
      </w:r>
      <w:r w:rsidR="000F076F" w:rsidRPr="000F076F">
        <w:t>Example</w:t>
      </w:r>
      <w:r w:rsidR="006D3E21">
        <w:t xml:space="preserve"> application of LHR</w:t>
      </w:r>
      <w:bookmarkEnd w:id="14"/>
    </w:p>
    <w:p w:rsidR="00D3210D" w:rsidRDefault="000F076F" w:rsidP="000F076F">
      <w:pPr>
        <w:spacing w:line="360" w:lineRule="auto"/>
        <w:jc w:val="both"/>
        <w:rPr>
          <w:sz w:val="24"/>
          <w:szCs w:val="24"/>
        </w:rPr>
      </w:pPr>
      <w:r>
        <w:rPr>
          <w:sz w:val="24"/>
          <w:szCs w:val="24"/>
        </w:rPr>
        <w:t>U</w:t>
      </w:r>
      <w:r w:rsidR="00E56B2D">
        <w:rPr>
          <w:sz w:val="24"/>
          <w:szCs w:val="24"/>
        </w:rPr>
        <w:t xml:space="preserve">sing the AM80 tables and an interest rate of 6% pa, the present value of 1 unit of an assurance to a male aged 25 can be calculated as R0.072481. </w:t>
      </w:r>
    </w:p>
    <w:p w:rsidR="000F076F" w:rsidRDefault="000F076F" w:rsidP="000F076F">
      <w:pPr>
        <w:spacing w:line="360" w:lineRule="auto"/>
        <w:jc w:val="both"/>
        <w:rPr>
          <w:sz w:val="24"/>
          <w:szCs w:val="24"/>
        </w:rPr>
      </w:pPr>
      <w:r>
        <w:rPr>
          <w:sz w:val="24"/>
          <w:szCs w:val="24"/>
        </w:rPr>
        <w:t xml:space="preserve">Using the PMA80 tables and an interest rate of 6% pa, the present value of 1 unit of an annuity to a male aged 55 can be calculated as R12.312183. </w:t>
      </w:r>
    </w:p>
    <w:p w:rsidR="00DE6671" w:rsidRPr="000F48CF" w:rsidRDefault="000F076F" w:rsidP="005264DA">
      <w:pPr>
        <w:spacing w:line="360" w:lineRule="auto"/>
        <w:jc w:val="both"/>
        <w:rPr>
          <w:sz w:val="24"/>
          <w:szCs w:val="24"/>
        </w:rPr>
      </w:pPr>
      <w:r>
        <w:rPr>
          <w:sz w:val="24"/>
          <w:szCs w:val="24"/>
        </w:rPr>
        <w:t xml:space="preserve">The improvement in mortality can now be applied. </w:t>
      </w:r>
      <w:r w:rsidR="00D3210D" w:rsidRPr="000F48CF">
        <w:rPr>
          <w:sz w:val="24"/>
          <w:szCs w:val="24"/>
        </w:rPr>
        <w:t>Any reference to a change in mortality should be considered as a compound annual change, i.e. from a specified age, the mortality rate changes by a fixed percentage every year. This change in the mortality rate can be regarded as extra divergence from the mortality rate used to price a product when it is issu</w:t>
      </w:r>
      <w:r w:rsidR="00DE6671" w:rsidRPr="000F48CF">
        <w:rPr>
          <w:sz w:val="24"/>
          <w:szCs w:val="24"/>
        </w:rPr>
        <w:t>ed.</w:t>
      </w:r>
    </w:p>
    <w:p w:rsidR="00AE1561" w:rsidRPr="000F48CF" w:rsidRDefault="00D3210D" w:rsidP="005264DA">
      <w:pPr>
        <w:spacing w:line="360" w:lineRule="auto"/>
        <w:jc w:val="both"/>
        <w:rPr>
          <w:rFonts w:eastAsiaTheme="minorEastAsia"/>
          <w:sz w:val="24"/>
          <w:szCs w:val="24"/>
        </w:rPr>
      </w:pPr>
      <w:r w:rsidRPr="000F48CF">
        <w:rPr>
          <w:sz w:val="24"/>
          <w:szCs w:val="24"/>
        </w:rPr>
        <w:t>To illustrate this concept, consider the mortality rate of a life currently aged 25.</w:t>
      </w:r>
      <w:r w:rsidR="00DE6671" w:rsidRPr="000F48CF">
        <w:rPr>
          <w:sz w:val="24"/>
          <w:szCs w:val="24"/>
        </w:rPr>
        <w:t xml:space="preserve"> In order to price a product</w:t>
      </w:r>
      <w:r w:rsidR="00C266A5">
        <w:rPr>
          <w:sz w:val="24"/>
          <w:szCs w:val="24"/>
        </w:rPr>
        <w:t xml:space="preserve"> issued</w:t>
      </w:r>
      <w:r w:rsidR="00DE6671" w:rsidRPr="000F48CF">
        <w:rPr>
          <w:sz w:val="24"/>
          <w:szCs w:val="24"/>
        </w:rPr>
        <w:t xml:space="preserve"> to this life standard mortality rates will be used, that is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25</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26</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27</m:t>
            </m:r>
          </m:sub>
        </m:sSub>
      </m:oMath>
      <w:r w:rsidR="00DE6671" w:rsidRPr="000F48CF">
        <w:rPr>
          <w:rFonts w:eastAsiaTheme="minorEastAsia"/>
          <w:sz w:val="24"/>
          <w:szCs w:val="24"/>
        </w:rPr>
        <w:t xml:space="preserve"> </w:t>
      </w:r>
      <w:r w:rsidR="00DE6671" w:rsidRPr="000F48CF">
        <w:rPr>
          <w:rFonts w:eastAsiaTheme="minorEastAsia"/>
          <w:i/>
          <w:sz w:val="24"/>
          <w:szCs w:val="24"/>
        </w:rPr>
        <w:t>etc.</w:t>
      </w:r>
      <w:r w:rsidRPr="000F48CF">
        <w:rPr>
          <w:sz w:val="24"/>
          <w:szCs w:val="24"/>
        </w:rPr>
        <w:t xml:space="preserve"> If mortality rates decrease by 1% </w:t>
      </w:r>
      <w:r w:rsidR="00DE6671" w:rsidRPr="000F48CF">
        <w:rPr>
          <w:sz w:val="24"/>
          <w:szCs w:val="24"/>
        </w:rPr>
        <w:t xml:space="preserve">each year then the adjusted mortality rates to use can be calculated as follows: </w:t>
      </w:r>
      <m:oMath>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25</m:t>
            </m:r>
          </m:sub>
          <m:sup>
            <m:r>
              <w:rPr>
                <w:rFonts w:ascii="Cambria Math" w:hAnsi="Cambria Math"/>
                <w:sz w:val="24"/>
                <w:szCs w:val="24"/>
              </w:rPr>
              <m:t>*</m:t>
            </m:r>
          </m:sup>
        </m:sSubSup>
        <m:r>
          <w:rPr>
            <w:rFonts w:ascii="Cambria Math" w:hAnsi="Cambria Math"/>
            <w:sz w:val="24"/>
            <w:szCs w:val="24"/>
          </w:rPr>
          <m:t>=0.99×</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25</m:t>
            </m:r>
          </m:sub>
        </m:sSub>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26</m:t>
            </m:r>
          </m:sub>
          <m:sup>
            <m:r>
              <w:rPr>
                <w:rFonts w:ascii="Cambria Math" w:hAnsi="Cambria Math"/>
                <w:sz w:val="24"/>
                <w:szCs w:val="24"/>
              </w:rPr>
              <m:t>*</m:t>
            </m:r>
          </m:sup>
        </m:sSub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0.99</m:t>
            </m:r>
          </m:e>
          <m:sup>
            <m:r>
              <w:rPr>
                <w:rFonts w:ascii="Cambria Math" w:hAnsi="Cambria Math"/>
                <w:sz w:val="24"/>
                <w:szCs w:val="24"/>
              </w:rPr>
              <m:t>2</m:t>
            </m:r>
          </m:sup>
        </m:s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26</m:t>
            </m:r>
          </m:sub>
        </m:sSub>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27</m:t>
            </m:r>
          </m:sub>
          <m:sup>
            <m:r>
              <w:rPr>
                <w:rFonts w:ascii="Cambria Math" w:hAnsi="Cambria Math"/>
                <w:sz w:val="24"/>
                <w:szCs w:val="24"/>
              </w:rPr>
              <m:t>*</m:t>
            </m:r>
          </m:sup>
        </m:sSub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0.99</m:t>
            </m:r>
          </m:e>
          <m:sup>
            <m:r>
              <w:rPr>
                <w:rFonts w:ascii="Cambria Math" w:hAnsi="Cambria Math"/>
                <w:sz w:val="24"/>
                <w:szCs w:val="24"/>
              </w:rPr>
              <m:t>3</m:t>
            </m:r>
          </m:sup>
        </m:s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27</m:t>
            </m:r>
          </m:sub>
        </m:sSub>
      </m:oMath>
      <w:r w:rsidR="00BD3BF9" w:rsidRPr="000F48CF">
        <w:rPr>
          <w:rFonts w:eastAsiaTheme="minorEastAsia"/>
          <w:sz w:val="24"/>
          <w:szCs w:val="24"/>
        </w:rPr>
        <w:t xml:space="preserve"> </w:t>
      </w:r>
      <w:r w:rsidR="00BD3BF9" w:rsidRPr="000F48CF">
        <w:rPr>
          <w:rFonts w:eastAsiaTheme="minorEastAsia"/>
          <w:i/>
          <w:sz w:val="24"/>
          <w:szCs w:val="24"/>
        </w:rPr>
        <w:t>etc.</w:t>
      </w:r>
    </w:p>
    <w:p w:rsidR="00C266A5" w:rsidRDefault="00127859" w:rsidP="005264DA">
      <w:pPr>
        <w:spacing w:line="360" w:lineRule="auto"/>
        <w:jc w:val="both"/>
        <w:rPr>
          <w:rStyle w:val="main"/>
          <w:sz w:val="24"/>
          <w:szCs w:val="24"/>
        </w:rPr>
      </w:pPr>
      <w:r>
        <w:rPr>
          <w:rStyle w:val="main"/>
          <w:sz w:val="24"/>
          <w:szCs w:val="24"/>
        </w:rPr>
        <w:t>The natural hedge is then obtained by taking the quotient of the change in present values, where the numerator is the change in present value of the product to be hedged and the denominator is the change in present valu</w:t>
      </w:r>
      <w:r w:rsidR="00C266A5">
        <w:rPr>
          <w:rStyle w:val="main"/>
          <w:sz w:val="24"/>
          <w:szCs w:val="24"/>
        </w:rPr>
        <w:t>e of the hedging product.</w:t>
      </w:r>
    </w:p>
    <w:p w:rsidR="00127859" w:rsidRDefault="00127859" w:rsidP="005264DA">
      <w:pPr>
        <w:spacing w:line="360" w:lineRule="auto"/>
        <w:jc w:val="both"/>
        <w:rPr>
          <w:rStyle w:val="main"/>
          <w:sz w:val="24"/>
          <w:szCs w:val="24"/>
        </w:rPr>
      </w:pPr>
      <w:r>
        <w:rPr>
          <w:rStyle w:val="main"/>
          <w:sz w:val="24"/>
          <w:szCs w:val="24"/>
        </w:rPr>
        <w:t>As an example, consider</w:t>
      </w:r>
      <w:r w:rsidR="005614BA">
        <w:rPr>
          <w:rStyle w:val="main"/>
          <w:sz w:val="24"/>
          <w:szCs w:val="24"/>
        </w:rPr>
        <w:t xml:space="preserve"> one unit of</w:t>
      </w:r>
      <w:r>
        <w:rPr>
          <w:rStyle w:val="main"/>
          <w:sz w:val="24"/>
          <w:szCs w:val="24"/>
        </w:rPr>
        <w:t xml:space="preserve"> an annuity that has a change in present value of </w:t>
      </w:r>
      <w:r w:rsidR="005614BA">
        <w:rPr>
          <w:rStyle w:val="main"/>
          <w:sz w:val="24"/>
          <w:szCs w:val="24"/>
        </w:rPr>
        <w:t>R0.35</w:t>
      </w:r>
      <w:r>
        <w:rPr>
          <w:rStyle w:val="main"/>
          <w:sz w:val="24"/>
          <w:szCs w:val="24"/>
        </w:rPr>
        <w:t xml:space="preserve">. If this product is to be hedged by an assurance that has a change in present value of </w:t>
      </w:r>
      <w:r w:rsidR="005614BA">
        <w:rPr>
          <w:rStyle w:val="main"/>
          <w:sz w:val="24"/>
          <w:szCs w:val="24"/>
        </w:rPr>
        <w:t>R0.02</w:t>
      </w:r>
      <w:r>
        <w:rPr>
          <w:rStyle w:val="main"/>
          <w:sz w:val="24"/>
          <w:szCs w:val="24"/>
        </w:rPr>
        <w:t>, then:</w:t>
      </w:r>
    </w:p>
    <w:p w:rsidR="00127859" w:rsidRDefault="00127859" w:rsidP="005264DA">
      <w:pPr>
        <w:spacing w:line="360" w:lineRule="auto"/>
        <w:jc w:val="both"/>
        <w:rPr>
          <w:rStyle w:val="main"/>
          <w:rFonts w:eastAsiaTheme="minorEastAsia"/>
          <w:sz w:val="24"/>
          <w:szCs w:val="24"/>
        </w:rPr>
      </w:pPr>
      <m:oMathPara>
        <m:oMath>
          <m:r>
            <w:rPr>
              <w:rStyle w:val="main"/>
              <w:rFonts w:ascii="Cambria Math" w:hAnsi="Cambria Math"/>
              <w:sz w:val="24"/>
              <w:szCs w:val="24"/>
            </w:rPr>
            <m:t>Assurances required=</m:t>
          </m:r>
          <m:f>
            <m:fPr>
              <m:ctrlPr>
                <w:rPr>
                  <w:rStyle w:val="main"/>
                  <w:rFonts w:ascii="Cambria Math" w:hAnsi="Cambria Math"/>
                  <w:i/>
                  <w:sz w:val="24"/>
                  <w:szCs w:val="24"/>
                </w:rPr>
              </m:ctrlPr>
            </m:fPr>
            <m:num>
              <m:r>
                <w:rPr>
                  <w:rStyle w:val="main"/>
                  <w:rFonts w:ascii="Cambria Math" w:hAnsi="Cambria Math"/>
                  <w:sz w:val="24"/>
                  <w:szCs w:val="24"/>
                </w:rPr>
                <m:t>0.35</m:t>
              </m:r>
            </m:num>
            <m:den>
              <m:r>
                <w:rPr>
                  <w:rStyle w:val="main"/>
                  <w:rFonts w:ascii="Cambria Math" w:hAnsi="Cambria Math"/>
                  <w:sz w:val="24"/>
                  <w:szCs w:val="24"/>
                </w:rPr>
                <m:t>0.02</m:t>
              </m:r>
            </m:den>
          </m:f>
          <m:r>
            <w:rPr>
              <w:rStyle w:val="main"/>
              <w:rFonts w:ascii="Cambria Math" w:hAnsi="Cambria Math"/>
              <w:sz w:val="24"/>
              <w:szCs w:val="24"/>
            </w:rPr>
            <m:t>=17.5</m:t>
          </m:r>
        </m:oMath>
      </m:oMathPara>
    </w:p>
    <w:p w:rsidR="00127859" w:rsidRDefault="00996E60" w:rsidP="005264DA">
      <w:pPr>
        <w:spacing w:line="360" w:lineRule="auto"/>
        <w:jc w:val="both"/>
        <w:rPr>
          <w:rStyle w:val="main"/>
          <w:rFonts w:eastAsiaTheme="minorEastAsia"/>
          <w:sz w:val="24"/>
          <w:szCs w:val="24"/>
        </w:rPr>
      </w:pPr>
      <w:r>
        <w:rPr>
          <w:rStyle w:val="main"/>
          <w:rFonts w:eastAsiaTheme="minorEastAsia"/>
          <w:sz w:val="24"/>
          <w:szCs w:val="24"/>
        </w:rPr>
        <w:lastRenderedPageBreak/>
        <w:t>The natural hedge amount can be interpreted as follows: For each R1</w:t>
      </w:r>
      <w:r w:rsidR="002952DA">
        <w:rPr>
          <w:rStyle w:val="main"/>
          <w:rFonts w:eastAsiaTheme="minorEastAsia"/>
          <w:sz w:val="24"/>
          <w:szCs w:val="24"/>
        </w:rPr>
        <w:t xml:space="preserve"> of an annuity, payable at the beginning of each year, to a life currently aged x, provided the life is then alive, an assurance contract to the value of R</w:t>
      </w:r>
      <w:r w:rsidR="005614BA">
        <w:rPr>
          <w:rStyle w:val="main"/>
          <w:rFonts w:eastAsiaTheme="minorEastAsia"/>
          <w:sz w:val="24"/>
          <w:szCs w:val="24"/>
        </w:rPr>
        <w:t>17.50</w:t>
      </w:r>
      <w:r w:rsidR="002952DA">
        <w:rPr>
          <w:rStyle w:val="main"/>
          <w:rFonts w:eastAsiaTheme="minorEastAsia"/>
          <w:sz w:val="24"/>
          <w:szCs w:val="24"/>
        </w:rPr>
        <w:t xml:space="preserve"> is necessary to hedge the insurance company against the pre-specified change in mortality.</w:t>
      </w:r>
    </w:p>
    <w:p w:rsidR="002952DA" w:rsidRDefault="002952DA" w:rsidP="005264DA">
      <w:pPr>
        <w:spacing w:line="360" w:lineRule="auto"/>
        <w:jc w:val="both"/>
        <w:rPr>
          <w:rStyle w:val="main"/>
          <w:sz w:val="24"/>
          <w:szCs w:val="24"/>
        </w:rPr>
      </w:pPr>
      <w:r>
        <w:rPr>
          <w:rStyle w:val="main"/>
          <w:sz w:val="24"/>
          <w:szCs w:val="24"/>
        </w:rPr>
        <w:t>Using this method in order to obtain a natural hedge and then calculating the total present value, first under the assumptions used in pricing</w:t>
      </w:r>
      <w:r w:rsidR="000F076F">
        <w:rPr>
          <w:rStyle w:val="main"/>
          <w:sz w:val="24"/>
          <w:szCs w:val="24"/>
        </w:rPr>
        <w:t>, with or without improvements,</w:t>
      </w:r>
      <w:r>
        <w:rPr>
          <w:rStyle w:val="main"/>
          <w:sz w:val="24"/>
          <w:szCs w:val="24"/>
        </w:rPr>
        <w:t xml:space="preserve"> and then under the assumption of a </w:t>
      </w:r>
      <w:r w:rsidR="00084F48">
        <w:rPr>
          <w:rStyle w:val="main"/>
          <w:sz w:val="24"/>
          <w:szCs w:val="24"/>
        </w:rPr>
        <w:t xml:space="preserve">possible </w:t>
      </w:r>
      <w:r>
        <w:rPr>
          <w:rStyle w:val="main"/>
          <w:sz w:val="24"/>
          <w:szCs w:val="24"/>
        </w:rPr>
        <w:t>compound annual change in mortality</w:t>
      </w:r>
      <w:r w:rsidR="000F076F">
        <w:rPr>
          <w:rStyle w:val="main"/>
          <w:sz w:val="24"/>
          <w:szCs w:val="24"/>
        </w:rPr>
        <w:t xml:space="preserve"> over and above that assumed in pricing</w:t>
      </w:r>
      <w:r>
        <w:rPr>
          <w:rStyle w:val="main"/>
          <w:sz w:val="24"/>
          <w:szCs w:val="24"/>
        </w:rPr>
        <w:t>, it can be seen that the total present value does not change.</w:t>
      </w:r>
    </w:p>
    <w:p w:rsidR="00084F48" w:rsidRDefault="00084F48" w:rsidP="005264DA">
      <w:pPr>
        <w:spacing w:line="360" w:lineRule="auto"/>
        <w:jc w:val="both"/>
        <w:rPr>
          <w:rStyle w:val="main"/>
          <w:sz w:val="24"/>
          <w:szCs w:val="24"/>
        </w:rPr>
      </w:pPr>
      <w:r>
        <w:rPr>
          <w:rStyle w:val="main"/>
          <w:sz w:val="24"/>
          <w:szCs w:val="24"/>
        </w:rPr>
        <w:t>The alternative view of this is that if a certain number of assurances are available, the hedging ability could be calculated if the annuity portfolio improves more than expected in pricing, i.e. it could withstand an additional improvement of say 0.2% per annum above pricing.</w:t>
      </w:r>
    </w:p>
    <w:p w:rsidR="002952DA" w:rsidRDefault="000F076F" w:rsidP="005264DA">
      <w:pPr>
        <w:spacing w:line="360" w:lineRule="auto"/>
        <w:jc w:val="both"/>
        <w:rPr>
          <w:rStyle w:val="main"/>
          <w:sz w:val="24"/>
          <w:szCs w:val="24"/>
        </w:rPr>
      </w:pPr>
      <w:r>
        <w:rPr>
          <w:rStyle w:val="main"/>
          <w:sz w:val="24"/>
          <w:szCs w:val="24"/>
        </w:rPr>
        <w:t xml:space="preserve">We are also interested in </w:t>
      </w:r>
      <w:r w:rsidR="002952DA">
        <w:rPr>
          <w:rStyle w:val="main"/>
          <w:sz w:val="24"/>
          <w:szCs w:val="24"/>
        </w:rPr>
        <w:t xml:space="preserve">how long the hedge </w:t>
      </w:r>
      <w:r>
        <w:rPr>
          <w:rStyle w:val="main"/>
          <w:sz w:val="24"/>
          <w:szCs w:val="24"/>
        </w:rPr>
        <w:t>will last.</w:t>
      </w:r>
      <w:r w:rsidR="006D5E43">
        <w:rPr>
          <w:rStyle w:val="main"/>
          <w:sz w:val="24"/>
          <w:szCs w:val="24"/>
        </w:rPr>
        <w:t xml:space="preserve"> In order to test this, the hedge can be kept constant while increasing the ages of the two lives. However, the stability of the hedge is very </w:t>
      </w:r>
      <w:r w:rsidR="00437C86">
        <w:rPr>
          <w:rStyle w:val="main"/>
          <w:sz w:val="24"/>
          <w:szCs w:val="24"/>
        </w:rPr>
        <w:t>dependent on</w:t>
      </w:r>
      <w:r w:rsidR="00D11D7F">
        <w:rPr>
          <w:rStyle w:val="main"/>
          <w:sz w:val="24"/>
          <w:szCs w:val="24"/>
        </w:rPr>
        <w:t xml:space="preserve"> the initial ages</w:t>
      </w:r>
      <w:r w:rsidR="006D5E43">
        <w:rPr>
          <w:rStyle w:val="main"/>
          <w:sz w:val="24"/>
          <w:szCs w:val="24"/>
        </w:rPr>
        <w:t xml:space="preserve"> used to obtain the hedge. Furthermore, how and when it will be necessary to restore the hedge will depend on t</w:t>
      </w:r>
      <w:r w:rsidR="001A782B">
        <w:rPr>
          <w:rStyle w:val="main"/>
          <w:sz w:val="24"/>
          <w:szCs w:val="24"/>
        </w:rPr>
        <w:t>he exposure that the company</w:t>
      </w:r>
      <w:r w:rsidR="00437C86">
        <w:rPr>
          <w:rStyle w:val="main"/>
          <w:sz w:val="24"/>
          <w:szCs w:val="24"/>
        </w:rPr>
        <w:t xml:space="preserve"> under consideration</w:t>
      </w:r>
      <w:r w:rsidR="001A782B">
        <w:rPr>
          <w:rStyle w:val="main"/>
          <w:sz w:val="24"/>
          <w:szCs w:val="24"/>
        </w:rPr>
        <w:t xml:space="preserve"> is</w:t>
      </w:r>
      <w:r w:rsidR="006D5E43">
        <w:rPr>
          <w:rStyle w:val="main"/>
          <w:sz w:val="24"/>
          <w:szCs w:val="24"/>
        </w:rPr>
        <w:t xml:space="preserve"> willing to face.</w:t>
      </w:r>
    </w:p>
    <w:p w:rsidR="006220C3" w:rsidRDefault="006220C3" w:rsidP="00084F48">
      <w:pPr>
        <w:spacing w:after="240" w:line="360" w:lineRule="auto"/>
        <w:jc w:val="both"/>
        <w:rPr>
          <w:sz w:val="24"/>
          <w:szCs w:val="24"/>
        </w:rPr>
      </w:pPr>
      <w:r>
        <w:rPr>
          <w:sz w:val="24"/>
          <w:szCs w:val="24"/>
        </w:rPr>
        <w:t>T</w:t>
      </w:r>
      <w:r w:rsidR="00DD0694">
        <w:rPr>
          <w:sz w:val="24"/>
          <w:szCs w:val="24"/>
        </w:rPr>
        <w:t>he change in the present value of one unit of an assurance issued to</w:t>
      </w:r>
      <w:r w:rsidR="00761DF8">
        <w:rPr>
          <w:sz w:val="24"/>
          <w:szCs w:val="24"/>
        </w:rPr>
        <w:t xml:space="preserve"> a life aged 25-</w:t>
      </w:r>
      <w:r w:rsidR="00DD0694">
        <w:rPr>
          <w:sz w:val="24"/>
          <w:szCs w:val="24"/>
        </w:rPr>
        <w:t xml:space="preserve">years old can be calculated. </w:t>
      </w:r>
    </w:p>
    <w:p w:rsidR="00777ED6" w:rsidRPr="00C13D4B" w:rsidRDefault="00C13D4B" w:rsidP="00C13D4B">
      <w:pPr>
        <w:pStyle w:val="Caption"/>
        <w:rPr>
          <w:sz w:val="22"/>
          <w:szCs w:val="22"/>
        </w:rPr>
      </w:pPr>
      <w:r w:rsidRPr="00C13D4B">
        <w:rPr>
          <w:sz w:val="22"/>
          <w:szCs w:val="22"/>
        </w:rPr>
        <w:t xml:space="preserve">Table </w:t>
      </w:r>
      <w:r w:rsidRPr="00C13D4B">
        <w:rPr>
          <w:sz w:val="22"/>
          <w:szCs w:val="22"/>
        </w:rPr>
        <w:fldChar w:fldCharType="begin"/>
      </w:r>
      <w:r w:rsidRPr="00C13D4B">
        <w:rPr>
          <w:sz w:val="22"/>
          <w:szCs w:val="22"/>
        </w:rPr>
        <w:instrText xml:space="preserve"> SEQ Table \* ARABIC </w:instrText>
      </w:r>
      <w:r w:rsidRPr="00C13D4B">
        <w:rPr>
          <w:sz w:val="22"/>
          <w:szCs w:val="22"/>
        </w:rPr>
        <w:fldChar w:fldCharType="separate"/>
      </w:r>
      <w:r w:rsidR="002B2B63">
        <w:rPr>
          <w:noProof/>
          <w:sz w:val="22"/>
          <w:szCs w:val="22"/>
        </w:rPr>
        <w:t>2</w:t>
      </w:r>
      <w:r w:rsidRPr="00C13D4B">
        <w:rPr>
          <w:sz w:val="22"/>
          <w:szCs w:val="22"/>
        </w:rPr>
        <w:fldChar w:fldCharType="end"/>
      </w:r>
      <w:r w:rsidRPr="00C13D4B">
        <w:rPr>
          <w:sz w:val="22"/>
          <w:szCs w:val="22"/>
        </w:rPr>
        <w:t xml:space="preserve"> - Change in present value for an assurance issued to a 25-year old male</w:t>
      </w:r>
    </w:p>
    <w:tbl>
      <w:tblPr>
        <w:tblStyle w:val="LightShading1"/>
        <w:tblpPr w:leftFromText="180" w:rightFromText="180" w:vertAnchor="text" w:horzAnchor="margin" w:tblpXSpec="center" w:tblpY="71"/>
        <w:tblW w:w="6345" w:type="dxa"/>
        <w:tblLook w:val="04A0" w:firstRow="1" w:lastRow="0" w:firstColumn="1" w:lastColumn="0" w:noHBand="0" w:noVBand="1"/>
      </w:tblPr>
      <w:tblGrid>
        <w:gridCol w:w="966"/>
        <w:gridCol w:w="1129"/>
        <w:gridCol w:w="1351"/>
        <w:gridCol w:w="1129"/>
        <w:gridCol w:w="1770"/>
      </w:tblGrid>
      <w:tr w:rsidR="00DD0694" w:rsidRPr="00E25CEC" w:rsidTr="00D11D7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gridSpan w:val="5"/>
            <w:noWrap/>
            <w:vAlign w:val="center"/>
            <w:hideMark/>
          </w:tcPr>
          <w:p w:rsidR="00DD0694" w:rsidRPr="00D263B8" w:rsidRDefault="00DD0694" w:rsidP="00DD0694">
            <w:pPr>
              <w:spacing w:line="276" w:lineRule="auto"/>
              <w:jc w:val="center"/>
              <w:rPr>
                <w:rFonts w:eastAsia="Times New Roman" w:cs="Times New Roman"/>
                <w:color w:val="000000"/>
                <w:sz w:val="24"/>
                <w:szCs w:val="24"/>
              </w:rPr>
            </w:pPr>
            <w:r w:rsidRPr="00D263B8">
              <w:rPr>
                <w:rFonts w:eastAsia="Times New Roman" w:cs="Times New Roman"/>
                <w:color w:val="000000"/>
                <w:sz w:val="24"/>
                <w:szCs w:val="24"/>
              </w:rPr>
              <w:t xml:space="preserve">Whole life assurance: </w:t>
            </w:r>
            <w:r w:rsidR="00D11D7F">
              <w:rPr>
                <w:rFonts w:eastAsia="Times New Roman" w:cs="Times New Roman"/>
                <w:color w:val="000000"/>
                <w:sz w:val="24"/>
                <w:szCs w:val="24"/>
              </w:rPr>
              <w:t xml:space="preserve">Male </w:t>
            </w:r>
            <w:r w:rsidRPr="00D263B8">
              <w:rPr>
                <w:rFonts w:eastAsia="Times New Roman" w:cs="Times New Roman"/>
                <w:color w:val="000000"/>
                <w:sz w:val="24"/>
                <w:szCs w:val="24"/>
              </w:rPr>
              <w:t>Aged 25, Payable at end of year</w:t>
            </w:r>
          </w:p>
        </w:tc>
      </w:tr>
      <w:tr w:rsidR="00DD0694" w:rsidRPr="00E25CEC" w:rsidTr="00D11D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dxa"/>
            <w:noWrap/>
            <w:vAlign w:val="center"/>
            <w:hideMark/>
          </w:tcPr>
          <w:p w:rsidR="00DD0694" w:rsidRPr="00D263B8" w:rsidRDefault="00DD0694" w:rsidP="00DD0694">
            <w:pPr>
              <w:spacing w:line="276" w:lineRule="auto"/>
              <w:jc w:val="center"/>
              <w:rPr>
                <w:rFonts w:eastAsia="Times New Roman" w:cs="Times New Roman"/>
                <w:color w:val="000000"/>
                <w:sz w:val="24"/>
                <w:szCs w:val="24"/>
              </w:rPr>
            </w:pPr>
            <w:r w:rsidRPr="00D263B8">
              <w:rPr>
                <w:rFonts w:eastAsia="Times New Roman" w:cs="Times New Roman"/>
                <w:color w:val="000000"/>
                <w:sz w:val="24"/>
                <w:szCs w:val="24"/>
              </w:rPr>
              <w:t>Change</w:t>
            </w:r>
          </w:p>
        </w:tc>
        <w:tc>
          <w:tcPr>
            <w:tcW w:w="1129"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4"/>
                <w:szCs w:val="24"/>
              </w:rPr>
            </w:pPr>
            <w:r w:rsidRPr="00D263B8">
              <w:rPr>
                <w:rFonts w:eastAsia="Times New Roman" w:cs="Times New Roman"/>
                <w:b/>
                <w:bCs/>
                <w:color w:val="000000"/>
                <w:sz w:val="24"/>
                <w:szCs w:val="24"/>
              </w:rPr>
              <w:t>PV</w:t>
            </w:r>
          </w:p>
        </w:tc>
        <w:tc>
          <w:tcPr>
            <w:tcW w:w="1351"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4"/>
                <w:szCs w:val="24"/>
              </w:rPr>
            </w:pPr>
            <w:r w:rsidRPr="00D263B8">
              <w:rPr>
                <w:rFonts w:eastAsia="Times New Roman" w:cs="Times New Roman"/>
                <w:b/>
                <w:bCs/>
                <w:color w:val="000000"/>
                <w:sz w:val="24"/>
                <w:szCs w:val="24"/>
              </w:rPr>
              <w:t>% Change</w:t>
            </w:r>
          </w:p>
        </w:tc>
        <w:tc>
          <w:tcPr>
            <w:tcW w:w="1129"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4"/>
                <w:szCs w:val="24"/>
              </w:rPr>
            </w:pPr>
            <w:r w:rsidRPr="00D263B8">
              <w:rPr>
                <w:rFonts w:eastAsia="Times New Roman" w:cs="Times New Roman"/>
                <w:b/>
                <w:bCs/>
                <w:color w:val="000000"/>
                <w:sz w:val="24"/>
                <w:szCs w:val="24"/>
              </w:rPr>
              <w:t>Var</w:t>
            </w:r>
            <w:r>
              <w:rPr>
                <w:rFonts w:eastAsia="Times New Roman" w:cs="Times New Roman"/>
                <w:b/>
                <w:bCs/>
                <w:color w:val="000000"/>
                <w:sz w:val="24"/>
                <w:szCs w:val="24"/>
              </w:rPr>
              <w:t>iance</w:t>
            </w:r>
          </w:p>
        </w:tc>
        <w:tc>
          <w:tcPr>
            <w:tcW w:w="1770"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4"/>
                <w:szCs w:val="24"/>
              </w:rPr>
            </w:pPr>
            <w:r w:rsidRPr="00D263B8">
              <w:rPr>
                <w:rFonts w:eastAsia="Times New Roman" w:cs="Times New Roman"/>
                <w:b/>
                <w:bCs/>
                <w:color w:val="000000"/>
                <w:sz w:val="24"/>
                <w:szCs w:val="24"/>
              </w:rPr>
              <w:t>% Change</w:t>
            </w:r>
          </w:p>
        </w:tc>
      </w:tr>
      <w:tr w:rsidR="00DD0694" w:rsidRPr="00E25CEC" w:rsidTr="00D11D7F">
        <w:trPr>
          <w:trHeight w:val="285"/>
        </w:trPr>
        <w:tc>
          <w:tcPr>
            <w:cnfStyle w:val="001000000000" w:firstRow="0" w:lastRow="0" w:firstColumn="1" w:lastColumn="0" w:oddVBand="0" w:evenVBand="0" w:oddHBand="0" w:evenHBand="0" w:firstRowFirstColumn="0" w:firstRowLastColumn="0" w:lastRowFirstColumn="0" w:lastRowLastColumn="0"/>
            <w:tcW w:w="966" w:type="dxa"/>
            <w:noWrap/>
            <w:vAlign w:val="center"/>
            <w:hideMark/>
          </w:tcPr>
          <w:p w:rsidR="00DD0694" w:rsidRPr="00D263B8" w:rsidRDefault="00DD0694" w:rsidP="00DD0694">
            <w:pPr>
              <w:spacing w:line="276" w:lineRule="auto"/>
              <w:jc w:val="center"/>
              <w:rPr>
                <w:rFonts w:eastAsia="Times New Roman" w:cs="Times New Roman"/>
                <w:color w:val="000000"/>
                <w:sz w:val="24"/>
                <w:szCs w:val="24"/>
              </w:rPr>
            </w:pPr>
            <w:r w:rsidRPr="00D263B8">
              <w:rPr>
                <w:rFonts w:eastAsia="Times New Roman" w:cs="Times New Roman"/>
                <w:color w:val="000000"/>
                <w:sz w:val="24"/>
                <w:szCs w:val="24"/>
              </w:rPr>
              <w:t xml:space="preserve"> 0.00%</w:t>
            </w:r>
          </w:p>
        </w:tc>
        <w:tc>
          <w:tcPr>
            <w:tcW w:w="1129"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0.072481</w:t>
            </w:r>
          </w:p>
        </w:tc>
        <w:tc>
          <w:tcPr>
            <w:tcW w:w="1351"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0.00%</w:t>
            </w:r>
          </w:p>
        </w:tc>
        <w:tc>
          <w:tcPr>
            <w:tcW w:w="1129"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0.006454</w:t>
            </w:r>
          </w:p>
        </w:tc>
        <w:tc>
          <w:tcPr>
            <w:tcW w:w="1770"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0.00%</w:t>
            </w:r>
          </w:p>
        </w:tc>
      </w:tr>
      <w:tr w:rsidR="00DD0694" w:rsidRPr="00E25CEC" w:rsidTr="00D11D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dxa"/>
            <w:noWrap/>
            <w:vAlign w:val="center"/>
            <w:hideMark/>
          </w:tcPr>
          <w:p w:rsidR="00DD0694" w:rsidRPr="00D263B8" w:rsidRDefault="00DD0694" w:rsidP="00DD0694">
            <w:pPr>
              <w:spacing w:line="276" w:lineRule="auto"/>
              <w:jc w:val="center"/>
              <w:rPr>
                <w:rFonts w:eastAsia="Times New Roman" w:cs="Times New Roman"/>
                <w:color w:val="000000"/>
                <w:sz w:val="24"/>
                <w:szCs w:val="24"/>
              </w:rPr>
            </w:pPr>
            <w:r w:rsidRPr="00D263B8">
              <w:rPr>
                <w:rFonts w:eastAsia="Times New Roman" w:cs="Times New Roman"/>
                <w:color w:val="000000"/>
                <w:sz w:val="24"/>
                <w:szCs w:val="24"/>
              </w:rPr>
              <w:t>-0.50%</w:t>
            </w:r>
          </w:p>
        </w:tc>
        <w:tc>
          <w:tcPr>
            <w:tcW w:w="1129"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0.066186</w:t>
            </w:r>
          </w:p>
        </w:tc>
        <w:tc>
          <w:tcPr>
            <w:tcW w:w="1351"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-8.69%</w:t>
            </w:r>
          </w:p>
        </w:tc>
        <w:tc>
          <w:tcPr>
            <w:tcW w:w="1129"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0.006313</w:t>
            </w:r>
          </w:p>
        </w:tc>
        <w:tc>
          <w:tcPr>
            <w:tcW w:w="1770"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-2.18%</w:t>
            </w:r>
          </w:p>
        </w:tc>
      </w:tr>
      <w:tr w:rsidR="00DD0694" w:rsidRPr="00E25CEC" w:rsidTr="00D11D7F">
        <w:trPr>
          <w:trHeight w:val="300"/>
        </w:trPr>
        <w:tc>
          <w:tcPr>
            <w:cnfStyle w:val="001000000000" w:firstRow="0" w:lastRow="0" w:firstColumn="1" w:lastColumn="0" w:oddVBand="0" w:evenVBand="0" w:oddHBand="0" w:evenHBand="0" w:firstRowFirstColumn="0" w:firstRowLastColumn="0" w:lastRowFirstColumn="0" w:lastRowLastColumn="0"/>
            <w:tcW w:w="966" w:type="dxa"/>
            <w:noWrap/>
            <w:vAlign w:val="center"/>
            <w:hideMark/>
          </w:tcPr>
          <w:p w:rsidR="00DD0694" w:rsidRPr="00D263B8" w:rsidRDefault="00DD0694" w:rsidP="00DD0694">
            <w:pPr>
              <w:spacing w:line="276" w:lineRule="auto"/>
              <w:jc w:val="center"/>
              <w:rPr>
                <w:rFonts w:eastAsia="Times New Roman" w:cs="Times New Roman"/>
                <w:color w:val="000000"/>
                <w:sz w:val="24"/>
                <w:szCs w:val="24"/>
              </w:rPr>
            </w:pPr>
            <w:r w:rsidRPr="00D263B8">
              <w:rPr>
                <w:rFonts w:eastAsia="Times New Roman" w:cs="Times New Roman"/>
                <w:color w:val="000000"/>
                <w:sz w:val="24"/>
                <w:szCs w:val="24"/>
              </w:rPr>
              <w:t>-1.00%</w:t>
            </w:r>
          </w:p>
        </w:tc>
        <w:tc>
          <w:tcPr>
            <w:tcW w:w="1129"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0.059952</w:t>
            </w:r>
          </w:p>
        </w:tc>
        <w:tc>
          <w:tcPr>
            <w:tcW w:w="1351"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-17.29%</w:t>
            </w:r>
          </w:p>
        </w:tc>
        <w:tc>
          <w:tcPr>
            <w:tcW w:w="1129"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0.006163</w:t>
            </w:r>
          </w:p>
        </w:tc>
        <w:tc>
          <w:tcPr>
            <w:tcW w:w="1770"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-4.51%</w:t>
            </w:r>
          </w:p>
        </w:tc>
      </w:tr>
      <w:tr w:rsidR="00DD0694" w:rsidRPr="00E25CEC" w:rsidTr="00D11D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dxa"/>
            <w:noWrap/>
            <w:vAlign w:val="center"/>
            <w:hideMark/>
          </w:tcPr>
          <w:p w:rsidR="00DD0694" w:rsidRPr="00D263B8" w:rsidRDefault="00DD0694" w:rsidP="00DD0694">
            <w:pPr>
              <w:spacing w:line="276" w:lineRule="auto"/>
              <w:jc w:val="center"/>
              <w:rPr>
                <w:rFonts w:eastAsia="Times New Roman" w:cs="Times New Roman"/>
                <w:color w:val="000000"/>
                <w:sz w:val="24"/>
                <w:szCs w:val="24"/>
              </w:rPr>
            </w:pPr>
            <w:r w:rsidRPr="00D263B8">
              <w:rPr>
                <w:rFonts w:eastAsia="Times New Roman" w:cs="Times New Roman"/>
                <w:color w:val="000000"/>
                <w:sz w:val="24"/>
                <w:szCs w:val="24"/>
              </w:rPr>
              <w:t>-1.50%</w:t>
            </w:r>
          </w:p>
        </w:tc>
        <w:tc>
          <w:tcPr>
            <w:tcW w:w="1129"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0.053796</w:t>
            </w:r>
          </w:p>
        </w:tc>
        <w:tc>
          <w:tcPr>
            <w:tcW w:w="1351"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-25.78%</w:t>
            </w:r>
          </w:p>
        </w:tc>
        <w:tc>
          <w:tcPr>
            <w:tcW w:w="1129"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0.006004</w:t>
            </w:r>
          </w:p>
        </w:tc>
        <w:tc>
          <w:tcPr>
            <w:tcW w:w="1770"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-6.97%</w:t>
            </w:r>
          </w:p>
        </w:tc>
      </w:tr>
      <w:tr w:rsidR="00DD0694" w:rsidRPr="00E25CEC" w:rsidTr="00D11D7F">
        <w:trPr>
          <w:trHeight w:val="300"/>
        </w:trPr>
        <w:tc>
          <w:tcPr>
            <w:cnfStyle w:val="001000000000" w:firstRow="0" w:lastRow="0" w:firstColumn="1" w:lastColumn="0" w:oddVBand="0" w:evenVBand="0" w:oddHBand="0" w:evenHBand="0" w:firstRowFirstColumn="0" w:firstRowLastColumn="0" w:lastRowFirstColumn="0" w:lastRowLastColumn="0"/>
            <w:tcW w:w="966" w:type="dxa"/>
            <w:noWrap/>
            <w:vAlign w:val="center"/>
            <w:hideMark/>
          </w:tcPr>
          <w:p w:rsidR="00DD0694" w:rsidRPr="00D263B8" w:rsidRDefault="00DD0694" w:rsidP="00DD0694">
            <w:pPr>
              <w:spacing w:line="276" w:lineRule="auto"/>
              <w:jc w:val="center"/>
              <w:rPr>
                <w:rFonts w:eastAsia="Times New Roman" w:cs="Times New Roman"/>
                <w:color w:val="000000"/>
                <w:sz w:val="24"/>
                <w:szCs w:val="24"/>
              </w:rPr>
            </w:pPr>
            <w:r w:rsidRPr="00D263B8">
              <w:rPr>
                <w:rFonts w:eastAsia="Times New Roman" w:cs="Times New Roman"/>
                <w:color w:val="000000"/>
                <w:sz w:val="24"/>
                <w:szCs w:val="24"/>
              </w:rPr>
              <w:t>-2.00%</w:t>
            </w:r>
          </w:p>
        </w:tc>
        <w:tc>
          <w:tcPr>
            <w:tcW w:w="1129"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0.047720</w:t>
            </w:r>
          </w:p>
        </w:tc>
        <w:tc>
          <w:tcPr>
            <w:tcW w:w="1351"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-34.16%</w:t>
            </w:r>
          </w:p>
        </w:tc>
        <w:tc>
          <w:tcPr>
            <w:tcW w:w="1129"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0.005839</w:t>
            </w:r>
          </w:p>
        </w:tc>
        <w:tc>
          <w:tcPr>
            <w:tcW w:w="1770"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-9.53%</w:t>
            </w:r>
          </w:p>
        </w:tc>
      </w:tr>
      <w:tr w:rsidR="00DD0694" w:rsidRPr="00E25CEC" w:rsidTr="00D11D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dxa"/>
            <w:noWrap/>
            <w:vAlign w:val="center"/>
            <w:hideMark/>
          </w:tcPr>
          <w:p w:rsidR="00DD0694" w:rsidRPr="00D263B8" w:rsidRDefault="00DD0694" w:rsidP="00DD0694">
            <w:pPr>
              <w:spacing w:line="276" w:lineRule="auto"/>
              <w:jc w:val="center"/>
              <w:rPr>
                <w:rFonts w:eastAsia="Times New Roman" w:cs="Times New Roman"/>
                <w:color w:val="000000"/>
                <w:sz w:val="24"/>
                <w:szCs w:val="24"/>
              </w:rPr>
            </w:pPr>
            <w:r w:rsidRPr="00D263B8">
              <w:rPr>
                <w:rFonts w:eastAsia="Times New Roman" w:cs="Times New Roman"/>
                <w:color w:val="000000"/>
                <w:sz w:val="24"/>
                <w:szCs w:val="24"/>
              </w:rPr>
              <w:t>0.50%</w:t>
            </w:r>
          </w:p>
        </w:tc>
        <w:tc>
          <w:tcPr>
            <w:tcW w:w="1129"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0.078821</w:t>
            </w:r>
          </w:p>
        </w:tc>
        <w:tc>
          <w:tcPr>
            <w:tcW w:w="1351"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8.75%</w:t>
            </w:r>
          </w:p>
        </w:tc>
        <w:tc>
          <w:tcPr>
            <w:tcW w:w="1129"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0.006585</w:t>
            </w:r>
          </w:p>
        </w:tc>
        <w:tc>
          <w:tcPr>
            <w:tcW w:w="1770"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2.04%</w:t>
            </w:r>
          </w:p>
        </w:tc>
      </w:tr>
      <w:tr w:rsidR="00DD0694" w:rsidRPr="00E25CEC" w:rsidTr="00D11D7F">
        <w:trPr>
          <w:trHeight w:val="300"/>
        </w:trPr>
        <w:tc>
          <w:tcPr>
            <w:cnfStyle w:val="001000000000" w:firstRow="0" w:lastRow="0" w:firstColumn="1" w:lastColumn="0" w:oddVBand="0" w:evenVBand="0" w:oddHBand="0" w:evenHBand="0" w:firstRowFirstColumn="0" w:firstRowLastColumn="0" w:lastRowFirstColumn="0" w:lastRowLastColumn="0"/>
            <w:tcW w:w="966" w:type="dxa"/>
            <w:noWrap/>
            <w:vAlign w:val="center"/>
            <w:hideMark/>
          </w:tcPr>
          <w:p w:rsidR="00DD0694" w:rsidRPr="00D263B8" w:rsidRDefault="00DD0694" w:rsidP="00DD0694">
            <w:pPr>
              <w:spacing w:line="276" w:lineRule="auto"/>
              <w:jc w:val="center"/>
              <w:rPr>
                <w:rFonts w:eastAsia="Times New Roman" w:cs="Times New Roman"/>
                <w:color w:val="000000"/>
                <w:sz w:val="24"/>
                <w:szCs w:val="24"/>
              </w:rPr>
            </w:pPr>
            <w:r w:rsidRPr="00D263B8">
              <w:rPr>
                <w:rFonts w:eastAsia="Times New Roman" w:cs="Times New Roman"/>
                <w:color w:val="000000"/>
                <w:sz w:val="24"/>
                <w:szCs w:val="24"/>
              </w:rPr>
              <w:t>1.00%</w:t>
            </w:r>
          </w:p>
        </w:tc>
        <w:tc>
          <w:tcPr>
            <w:tcW w:w="1129"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0.085194</w:t>
            </w:r>
          </w:p>
        </w:tc>
        <w:tc>
          <w:tcPr>
            <w:tcW w:w="1351"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17.54%</w:t>
            </w:r>
          </w:p>
        </w:tc>
        <w:tc>
          <w:tcPr>
            <w:tcW w:w="1129"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0.006707</w:t>
            </w:r>
          </w:p>
        </w:tc>
        <w:tc>
          <w:tcPr>
            <w:tcW w:w="1770"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3.93%</w:t>
            </w:r>
          </w:p>
        </w:tc>
      </w:tr>
      <w:tr w:rsidR="00DD0694" w:rsidRPr="00E25CEC" w:rsidTr="00D11D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dxa"/>
            <w:noWrap/>
            <w:vAlign w:val="center"/>
            <w:hideMark/>
          </w:tcPr>
          <w:p w:rsidR="00DD0694" w:rsidRPr="00D263B8" w:rsidRDefault="00DD0694" w:rsidP="00DD0694">
            <w:pPr>
              <w:spacing w:line="276" w:lineRule="auto"/>
              <w:jc w:val="center"/>
              <w:rPr>
                <w:rFonts w:eastAsia="Times New Roman" w:cs="Times New Roman"/>
                <w:color w:val="000000"/>
                <w:sz w:val="24"/>
                <w:szCs w:val="24"/>
              </w:rPr>
            </w:pPr>
            <w:r w:rsidRPr="00D263B8">
              <w:rPr>
                <w:rFonts w:eastAsia="Times New Roman" w:cs="Times New Roman"/>
                <w:color w:val="000000"/>
                <w:sz w:val="24"/>
                <w:szCs w:val="24"/>
              </w:rPr>
              <w:t>1.50%</w:t>
            </w:r>
          </w:p>
        </w:tc>
        <w:tc>
          <w:tcPr>
            <w:tcW w:w="1129"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0.091588</w:t>
            </w:r>
          </w:p>
        </w:tc>
        <w:tc>
          <w:tcPr>
            <w:tcW w:w="1351"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26.36%</w:t>
            </w:r>
          </w:p>
        </w:tc>
        <w:tc>
          <w:tcPr>
            <w:tcW w:w="1129"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0.006819</w:t>
            </w:r>
          </w:p>
        </w:tc>
        <w:tc>
          <w:tcPr>
            <w:tcW w:w="1770" w:type="dxa"/>
            <w:noWrap/>
            <w:vAlign w:val="center"/>
            <w:hideMark/>
          </w:tcPr>
          <w:p w:rsidR="00DD0694" w:rsidRPr="00D263B8" w:rsidRDefault="00DD0694" w:rsidP="00DD069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5.67%</w:t>
            </w:r>
          </w:p>
        </w:tc>
      </w:tr>
      <w:tr w:rsidR="00DD0694" w:rsidRPr="00E25CEC" w:rsidTr="00D11D7F">
        <w:trPr>
          <w:trHeight w:val="300"/>
        </w:trPr>
        <w:tc>
          <w:tcPr>
            <w:cnfStyle w:val="001000000000" w:firstRow="0" w:lastRow="0" w:firstColumn="1" w:lastColumn="0" w:oddVBand="0" w:evenVBand="0" w:oddHBand="0" w:evenHBand="0" w:firstRowFirstColumn="0" w:firstRowLastColumn="0" w:lastRowFirstColumn="0" w:lastRowLastColumn="0"/>
            <w:tcW w:w="966" w:type="dxa"/>
            <w:noWrap/>
            <w:vAlign w:val="center"/>
            <w:hideMark/>
          </w:tcPr>
          <w:p w:rsidR="00DD0694" w:rsidRPr="00D263B8" w:rsidRDefault="00DD0694" w:rsidP="00DD0694">
            <w:pPr>
              <w:spacing w:line="276" w:lineRule="auto"/>
              <w:jc w:val="center"/>
              <w:rPr>
                <w:rFonts w:eastAsia="Times New Roman" w:cs="Times New Roman"/>
                <w:color w:val="000000"/>
                <w:sz w:val="24"/>
                <w:szCs w:val="24"/>
              </w:rPr>
            </w:pPr>
            <w:r w:rsidRPr="00D263B8">
              <w:rPr>
                <w:rFonts w:eastAsia="Times New Roman" w:cs="Times New Roman"/>
                <w:color w:val="000000"/>
                <w:sz w:val="24"/>
                <w:szCs w:val="24"/>
              </w:rPr>
              <w:lastRenderedPageBreak/>
              <w:t>2.00%</w:t>
            </w:r>
          </w:p>
        </w:tc>
        <w:tc>
          <w:tcPr>
            <w:tcW w:w="1129"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0.097990</w:t>
            </w:r>
          </w:p>
        </w:tc>
        <w:tc>
          <w:tcPr>
            <w:tcW w:w="1351"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35.19%</w:t>
            </w:r>
          </w:p>
        </w:tc>
        <w:tc>
          <w:tcPr>
            <w:tcW w:w="1129"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0.006921</w:t>
            </w:r>
          </w:p>
        </w:tc>
        <w:tc>
          <w:tcPr>
            <w:tcW w:w="1770" w:type="dxa"/>
            <w:noWrap/>
            <w:vAlign w:val="center"/>
            <w:hideMark/>
          </w:tcPr>
          <w:p w:rsidR="00DD0694" w:rsidRPr="00D263B8" w:rsidRDefault="00DD0694" w:rsidP="00DD069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D263B8">
              <w:rPr>
                <w:rFonts w:eastAsia="Times New Roman" w:cs="Times New Roman"/>
                <w:color w:val="000000"/>
                <w:sz w:val="24"/>
                <w:szCs w:val="24"/>
              </w:rPr>
              <w:t>7.25%</w:t>
            </w:r>
          </w:p>
        </w:tc>
      </w:tr>
    </w:tbl>
    <w:p w:rsidR="00D263B8" w:rsidRDefault="00D263B8" w:rsidP="0026082A">
      <w:pPr>
        <w:spacing w:before="240" w:after="0" w:line="360" w:lineRule="auto"/>
        <w:rPr>
          <w:sz w:val="24"/>
          <w:szCs w:val="24"/>
        </w:rPr>
      </w:pPr>
    </w:p>
    <w:p w:rsidR="00D263B8" w:rsidRDefault="00D263B8" w:rsidP="0026082A">
      <w:pPr>
        <w:spacing w:before="240" w:after="0" w:line="360" w:lineRule="auto"/>
        <w:rPr>
          <w:sz w:val="24"/>
          <w:szCs w:val="24"/>
        </w:rPr>
      </w:pPr>
    </w:p>
    <w:p w:rsidR="00D263B8" w:rsidRDefault="00D263B8" w:rsidP="0026082A">
      <w:pPr>
        <w:spacing w:before="240" w:after="0" w:line="360" w:lineRule="auto"/>
        <w:rPr>
          <w:sz w:val="24"/>
          <w:szCs w:val="24"/>
        </w:rPr>
      </w:pPr>
    </w:p>
    <w:p w:rsidR="00D263B8" w:rsidRDefault="00D263B8" w:rsidP="0026082A">
      <w:pPr>
        <w:spacing w:before="240" w:after="0" w:line="360" w:lineRule="auto"/>
        <w:rPr>
          <w:sz w:val="24"/>
          <w:szCs w:val="24"/>
        </w:rPr>
      </w:pPr>
    </w:p>
    <w:p w:rsidR="00D263B8" w:rsidRDefault="00D263B8" w:rsidP="0026082A">
      <w:pPr>
        <w:spacing w:before="240" w:after="0" w:line="360" w:lineRule="auto"/>
        <w:rPr>
          <w:sz w:val="24"/>
          <w:szCs w:val="24"/>
        </w:rPr>
      </w:pPr>
    </w:p>
    <w:p w:rsidR="00DD0694" w:rsidRDefault="00DD0694" w:rsidP="0026082A">
      <w:pPr>
        <w:spacing w:before="240" w:after="0" w:line="360" w:lineRule="auto"/>
        <w:rPr>
          <w:sz w:val="24"/>
          <w:szCs w:val="24"/>
        </w:rPr>
      </w:pPr>
    </w:p>
    <w:p w:rsidR="00DD0694" w:rsidRDefault="00DD0694" w:rsidP="00DD0694">
      <w:pPr>
        <w:spacing w:after="240" w:line="360" w:lineRule="auto"/>
        <w:jc w:val="both"/>
        <w:rPr>
          <w:sz w:val="24"/>
          <w:szCs w:val="24"/>
        </w:rPr>
      </w:pPr>
      <w:r>
        <w:rPr>
          <w:sz w:val="24"/>
          <w:szCs w:val="24"/>
        </w:rPr>
        <w:t xml:space="preserve">Using the </w:t>
      </w:r>
      <w:r w:rsidR="00761DF8">
        <w:rPr>
          <w:sz w:val="24"/>
          <w:szCs w:val="24"/>
        </w:rPr>
        <w:t>PMA80 and PFA</w:t>
      </w:r>
      <w:r>
        <w:rPr>
          <w:sz w:val="24"/>
          <w:szCs w:val="24"/>
        </w:rPr>
        <w:t>80 tables, for males and females respectively, a</w:t>
      </w:r>
      <w:r w:rsidR="00761DF8">
        <w:rPr>
          <w:sz w:val="24"/>
          <w:szCs w:val="24"/>
        </w:rPr>
        <w:t xml:space="preserve"> given</w:t>
      </w:r>
      <w:r>
        <w:rPr>
          <w:sz w:val="24"/>
          <w:szCs w:val="24"/>
        </w:rPr>
        <w:t xml:space="preserve"> range of possible changes in mortality rates and an interest rate of 6%, the change in the present value of one unit of an a</w:t>
      </w:r>
      <w:r w:rsidR="00761DF8">
        <w:rPr>
          <w:sz w:val="24"/>
          <w:szCs w:val="24"/>
        </w:rPr>
        <w:t>nnuity</w:t>
      </w:r>
      <w:r>
        <w:rPr>
          <w:sz w:val="24"/>
          <w:szCs w:val="24"/>
        </w:rPr>
        <w:t xml:space="preserve"> issued to</w:t>
      </w:r>
      <w:r w:rsidR="00761DF8">
        <w:rPr>
          <w:sz w:val="24"/>
          <w:szCs w:val="24"/>
        </w:rPr>
        <w:t xml:space="preserve"> a life aged 65-</w:t>
      </w:r>
      <w:r>
        <w:rPr>
          <w:sz w:val="24"/>
          <w:szCs w:val="24"/>
        </w:rPr>
        <w:t xml:space="preserve">years old can be calculated. </w:t>
      </w:r>
    </w:p>
    <w:p w:rsidR="009C4D32" w:rsidRPr="00C13D4B" w:rsidRDefault="00C13D4B" w:rsidP="00C13D4B">
      <w:pPr>
        <w:pStyle w:val="Caption"/>
        <w:rPr>
          <w:sz w:val="22"/>
          <w:szCs w:val="22"/>
        </w:rPr>
      </w:pPr>
      <w:r w:rsidRPr="00C13D4B">
        <w:rPr>
          <w:sz w:val="22"/>
          <w:szCs w:val="22"/>
        </w:rPr>
        <w:t xml:space="preserve">Table </w:t>
      </w:r>
      <w:r w:rsidRPr="00C13D4B">
        <w:rPr>
          <w:sz w:val="22"/>
          <w:szCs w:val="22"/>
        </w:rPr>
        <w:fldChar w:fldCharType="begin"/>
      </w:r>
      <w:r w:rsidRPr="00C13D4B">
        <w:rPr>
          <w:sz w:val="22"/>
          <w:szCs w:val="22"/>
        </w:rPr>
        <w:instrText xml:space="preserve"> SEQ Table \* ARABIC </w:instrText>
      </w:r>
      <w:r w:rsidRPr="00C13D4B">
        <w:rPr>
          <w:sz w:val="22"/>
          <w:szCs w:val="22"/>
        </w:rPr>
        <w:fldChar w:fldCharType="separate"/>
      </w:r>
      <w:r w:rsidR="002B2B63">
        <w:rPr>
          <w:noProof/>
          <w:sz w:val="22"/>
          <w:szCs w:val="22"/>
        </w:rPr>
        <w:t>3</w:t>
      </w:r>
      <w:r w:rsidRPr="00C13D4B">
        <w:rPr>
          <w:sz w:val="22"/>
          <w:szCs w:val="22"/>
        </w:rPr>
        <w:fldChar w:fldCharType="end"/>
      </w:r>
      <w:r w:rsidRPr="00C13D4B">
        <w:rPr>
          <w:sz w:val="22"/>
          <w:szCs w:val="22"/>
        </w:rPr>
        <w:t xml:space="preserve"> - Change in present value for an annuity issued to a 65-year old male</w:t>
      </w:r>
    </w:p>
    <w:tbl>
      <w:tblPr>
        <w:tblStyle w:val="LightShading1"/>
        <w:tblW w:w="5992" w:type="dxa"/>
        <w:jc w:val="center"/>
        <w:tblLook w:val="04A0" w:firstRow="1" w:lastRow="0" w:firstColumn="1" w:lastColumn="0" w:noHBand="0" w:noVBand="1"/>
      </w:tblPr>
      <w:tblGrid>
        <w:gridCol w:w="954"/>
        <w:gridCol w:w="1250"/>
        <w:gridCol w:w="1239"/>
        <w:gridCol w:w="1250"/>
        <w:gridCol w:w="1299"/>
      </w:tblGrid>
      <w:tr w:rsidR="003D75D3" w:rsidRPr="003D75D3" w:rsidTr="00D4620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992" w:type="dxa"/>
            <w:gridSpan w:val="5"/>
            <w:noWrap/>
            <w:hideMark/>
          </w:tcPr>
          <w:p w:rsidR="003D75D3" w:rsidRPr="00D263B8" w:rsidRDefault="003D75D3" w:rsidP="00E77412">
            <w:pPr>
              <w:spacing w:line="276" w:lineRule="auto"/>
              <w:jc w:val="center"/>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Whole life annuity: Aged 65, Payable in advance</w:t>
            </w:r>
          </w:p>
        </w:tc>
      </w:tr>
      <w:tr w:rsidR="003D75D3" w:rsidRPr="003D75D3" w:rsidTr="00D462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54" w:type="dxa"/>
            <w:noWrap/>
            <w:hideMark/>
          </w:tcPr>
          <w:p w:rsidR="003D75D3" w:rsidRPr="00D263B8" w:rsidRDefault="003D75D3" w:rsidP="00E77412">
            <w:pPr>
              <w:spacing w:line="276" w:lineRule="auto"/>
              <w:jc w:val="center"/>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Change</w:t>
            </w:r>
          </w:p>
        </w:tc>
        <w:tc>
          <w:tcPr>
            <w:tcW w:w="1250" w:type="dxa"/>
            <w:noWrap/>
            <w:hideMark/>
          </w:tcPr>
          <w:p w:rsidR="003D75D3" w:rsidRPr="00D263B8" w:rsidRDefault="003D75D3" w:rsidP="00E7741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24"/>
              </w:rPr>
            </w:pPr>
            <w:r w:rsidRPr="00D263B8">
              <w:rPr>
                <w:rFonts w:ascii="Calibri" w:eastAsia="Times New Roman" w:hAnsi="Calibri" w:cs="Times New Roman"/>
                <w:b/>
                <w:bCs/>
                <w:color w:val="000000"/>
                <w:sz w:val="24"/>
                <w:szCs w:val="24"/>
              </w:rPr>
              <w:t>PV</w:t>
            </w:r>
          </w:p>
        </w:tc>
        <w:tc>
          <w:tcPr>
            <w:tcW w:w="1239" w:type="dxa"/>
            <w:noWrap/>
            <w:hideMark/>
          </w:tcPr>
          <w:p w:rsidR="003D75D3" w:rsidRPr="00D263B8" w:rsidRDefault="003D75D3" w:rsidP="00E7741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24"/>
              </w:rPr>
            </w:pPr>
            <w:r w:rsidRPr="00D263B8">
              <w:rPr>
                <w:rFonts w:ascii="Calibri" w:eastAsia="Times New Roman" w:hAnsi="Calibri" w:cs="Times New Roman"/>
                <w:b/>
                <w:bCs/>
                <w:color w:val="000000"/>
                <w:sz w:val="24"/>
                <w:szCs w:val="24"/>
              </w:rPr>
              <w:t>% Change</w:t>
            </w:r>
          </w:p>
        </w:tc>
        <w:tc>
          <w:tcPr>
            <w:tcW w:w="1250" w:type="dxa"/>
            <w:noWrap/>
            <w:hideMark/>
          </w:tcPr>
          <w:p w:rsidR="003D75D3" w:rsidRPr="00D263B8" w:rsidRDefault="003D75D3" w:rsidP="00E7741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24"/>
              </w:rPr>
            </w:pPr>
            <w:proofErr w:type="spellStart"/>
            <w:r w:rsidRPr="00D263B8">
              <w:rPr>
                <w:rFonts w:ascii="Calibri" w:eastAsia="Times New Roman" w:hAnsi="Calibri" w:cs="Times New Roman"/>
                <w:b/>
                <w:bCs/>
                <w:color w:val="000000"/>
                <w:sz w:val="24"/>
                <w:szCs w:val="24"/>
              </w:rPr>
              <w:t>Var</w:t>
            </w:r>
            <w:proofErr w:type="spellEnd"/>
          </w:p>
        </w:tc>
        <w:tc>
          <w:tcPr>
            <w:tcW w:w="1299" w:type="dxa"/>
            <w:noWrap/>
            <w:hideMark/>
          </w:tcPr>
          <w:p w:rsidR="003D75D3" w:rsidRPr="00D263B8" w:rsidRDefault="003D75D3" w:rsidP="00E7741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24"/>
              </w:rPr>
            </w:pPr>
            <w:r w:rsidRPr="00D263B8">
              <w:rPr>
                <w:rFonts w:ascii="Calibri" w:eastAsia="Times New Roman" w:hAnsi="Calibri" w:cs="Times New Roman"/>
                <w:b/>
                <w:bCs/>
                <w:color w:val="000000"/>
                <w:sz w:val="24"/>
                <w:szCs w:val="24"/>
              </w:rPr>
              <w:t>% Change</w:t>
            </w:r>
          </w:p>
        </w:tc>
      </w:tr>
      <w:tr w:rsidR="003D75D3" w:rsidRPr="003D75D3" w:rsidTr="00D46206">
        <w:trPr>
          <w:trHeight w:val="300"/>
          <w:jc w:val="center"/>
        </w:trPr>
        <w:tc>
          <w:tcPr>
            <w:cnfStyle w:val="001000000000" w:firstRow="0" w:lastRow="0" w:firstColumn="1" w:lastColumn="0" w:oddVBand="0" w:evenVBand="0" w:oddHBand="0" w:evenHBand="0" w:firstRowFirstColumn="0" w:firstRowLastColumn="0" w:lastRowFirstColumn="0" w:lastRowLastColumn="0"/>
            <w:tcW w:w="954" w:type="dxa"/>
            <w:noWrap/>
            <w:vAlign w:val="center"/>
            <w:hideMark/>
          </w:tcPr>
          <w:p w:rsidR="003D75D3" w:rsidRPr="00D263B8" w:rsidRDefault="00161809" w:rsidP="00AE3773">
            <w:pPr>
              <w:spacing w:line="276" w:lineRule="auto"/>
              <w:jc w:val="center"/>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 xml:space="preserve">  0.00%</w:t>
            </w:r>
          </w:p>
        </w:tc>
        <w:tc>
          <w:tcPr>
            <w:tcW w:w="1250"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9.639131</w:t>
            </w:r>
          </w:p>
        </w:tc>
        <w:tc>
          <w:tcPr>
            <w:tcW w:w="1239"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0.00%</w:t>
            </w:r>
          </w:p>
        </w:tc>
        <w:tc>
          <w:tcPr>
            <w:tcW w:w="1250"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14.037590</w:t>
            </w:r>
          </w:p>
        </w:tc>
        <w:tc>
          <w:tcPr>
            <w:tcW w:w="1299"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0.00%</w:t>
            </w:r>
          </w:p>
        </w:tc>
      </w:tr>
      <w:tr w:rsidR="003D75D3" w:rsidRPr="003D75D3" w:rsidTr="00D462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54" w:type="dxa"/>
            <w:noWrap/>
            <w:hideMark/>
          </w:tcPr>
          <w:p w:rsidR="003D75D3" w:rsidRPr="00D263B8" w:rsidRDefault="00E77412" w:rsidP="00E77412">
            <w:pPr>
              <w:spacing w:line="276" w:lineRule="auto"/>
              <w:jc w:val="right"/>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w:t>
            </w:r>
            <w:r w:rsidR="003D75D3" w:rsidRPr="00D263B8">
              <w:rPr>
                <w:rFonts w:ascii="Calibri" w:eastAsia="Times New Roman" w:hAnsi="Calibri" w:cs="Times New Roman"/>
                <w:color w:val="000000"/>
                <w:sz w:val="24"/>
                <w:szCs w:val="24"/>
              </w:rPr>
              <w:t>0.50%</w:t>
            </w:r>
          </w:p>
        </w:tc>
        <w:tc>
          <w:tcPr>
            <w:tcW w:w="1250" w:type="dxa"/>
            <w:noWrap/>
            <w:hideMark/>
          </w:tcPr>
          <w:p w:rsidR="003D75D3" w:rsidRPr="00D263B8" w:rsidRDefault="003D75D3" w:rsidP="00E77412">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9.787840</w:t>
            </w:r>
          </w:p>
        </w:tc>
        <w:tc>
          <w:tcPr>
            <w:tcW w:w="1239" w:type="dxa"/>
            <w:noWrap/>
            <w:hideMark/>
          </w:tcPr>
          <w:p w:rsidR="003D75D3" w:rsidRPr="00D263B8" w:rsidRDefault="003D75D3" w:rsidP="00E77412">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1.54%</w:t>
            </w:r>
          </w:p>
        </w:tc>
        <w:tc>
          <w:tcPr>
            <w:tcW w:w="1250" w:type="dxa"/>
            <w:noWrap/>
            <w:hideMark/>
          </w:tcPr>
          <w:p w:rsidR="003D75D3" w:rsidRPr="00D263B8" w:rsidRDefault="003D75D3" w:rsidP="00E77412">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14.591661</w:t>
            </w:r>
          </w:p>
        </w:tc>
        <w:tc>
          <w:tcPr>
            <w:tcW w:w="1299" w:type="dxa"/>
            <w:noWrap/>
            <w:hideMark/>
          </w:tcPr>
          <w:p w:rsidR="003D75D3" w:rsidRPr="00D263B8" w:rsidRDefault="003D75D3" w:rsidP="00E77412">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3.95%</w:t>
            </w:r>
          </w:p>
        </w:tc>
      </w:tr>
      <w:tr w:rsidR="003D75D3" w:rsidRPr="003D75D3" w:rsidTr="00D46206">
        <w:trPr>
          <w:trHeight w:val="300"/>
          <w:jc w:val="center"/>
        </w:trPr>
        <w:tc>
          <w:tcPr>
            <w:cnfStyle w:val="001000000000" w:firstRow="0" w:lastRow="0" w:firstColumn="1" w:lastColumn="0" w:oddVBand="0" w:evenVBand="0" w:oddHBand="0" w:evenHBand="0" w:firstRowFirstColumn="0" w:firstRowLastColumn="0" w:lastRowFirstColumn="0" w:lastRowLastColumn="0"/>
            <w:tcW w:w="954" w:type="dxa"/>
            <w:noWrap/>
            <w:hideMark/>
          </w:tcPr>
          <w:p w:rsidR="003D75D3" w:rsidRPr="00D263B8" w:rsidRDefault="00E77412" w:rsidP="00E77412">
            <w:pPr>
              <w:spacing w:line="276" w:lineRule="auto"/>
              <w:jc w:val="right"/>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w:t>
            </w:r>
            <w:r w:rsidR="003D75D3" w:rsidRPr="00D263B8">
              <w:rPr>
                <w:rFonts w:ascii="Calibri" w:eastAsia="Times New Roman" w:hAnsi="Calibri" w:cs="Times New Roman"/>
                <w:color w:val="000000"/>
                <w:sz w:val="24"/>
                <w:szCs w:val="24"/>
              </w:rPr>
              <w:t>1.00%</w:t>
            </w:r>
          </w:p>
        </w:tc>
        <w:tc>
          <w:tcPr>
            <w:tcW w:w="1250"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9.943421</w:t>
            </w:r>
          </w:p>
        </w:tc>
        <w:tc>
          <w:tcPr>
            <w:tcW w:w="1239"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3.16%</w:t>
            </w:r>
          </w:p>
        </w:tc>
        <w:tc>
          <w:tcPr>
            <w:tcW w:w="1250"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15.185084</w:t>
            </w:r>
          </w:p>
        </w:tc>
        <w:tc>
          <w:tcPr>
            <w:tcW w:w="1299"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8.17%</w:t>
            </w:r>
          </w:p>
        </w:tc>
      </w:tr>
      <w:tr w:rsidR="003D75D3" w:rsidRPr="003D75D3" w:rsidTr="00D462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54" w:type="dxa"/>
            <w:noWrap/>
            <w:hideMark/>
          </w:tcPr>
          <w:p w:rsidR="003D75D3" w:rsidRPr="00D263B8" w:rsidRDefault="00E77412" w:rsidP="00E77412">
            <w:pPr>
              <w:spacing w:line="276" w:lineRule="auto"/>
              <w:jc w:val="right"/>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w:t>
            </w:r>
            <w:r w:rsidR="003D75D3" w:rsidRPr="00D263B8">
              <w:rPr>
                <w:rFonts w:ascii="Calibri" w:eastAsia="Times New Roman" w:hAnsi="Calibri" w:cs="Times New Roman"/>
                <w:color w:val="000000"/>
                <w:sz w:val="24"/>
                <w:szCs w:val="24"/>
              </w:rPr>
              <w:t>1.50%</w:t>
            </w:r>
          </w:p>
        </w:tc>
        <w:tc>
          <w:tcPr>
            <w:tcW w:w="1250" w:type="dxa"/>
            <w:noWrap/>
            <w:hideMark/>
          </w:tcPr>
          <w:p w:rsidR="003D75D3" w:rsidRPr="00D263B8" w:rsidRDefault="003D75D3" w:rsidP="00E77412">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10.106437</w:t>
            </w:r>
          </w:p>
        </w:tc>
        <w:tc>
          <w:tcPr>
            <w:tcW w:w="1239" w:type="dxa"/>
            <w:noWrap/>
            <w:hideMark/>
          </w:tcPr>
          <w:p w:rsidR="003D75D3" w:rsidRPr="00D263B8" w:rsidRDefault="003D75D3" w:rsidP="00E77412">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4.85%</w:t>
            </w:r>
          </w:p>
        </w:tc>
        <w:tc>
          <w:tcPr>
            <w:tcW w:w="1250" w:type="dxa"/>
            <w:noWrap/>
            <w:hideMark/>
          </w:tcPr>
          <w:p w:rsidR="003D75D3" w:rsidRPr="00D263B8" w:rsidRDefault="003D75D3" w:rsidP="00E77412">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15.82229</w:t>
            </w:r>
            <w:r w:rsidR="00690271" w:rsidRPr="00D263B8">
              <w:rPr>
                <w:rFonts w:ascii="Calibri" w:eastAsia="Times New Roman" w:hAnsi="Calibri" w:cs="Times New Roman"/>
                <w:color w:val="000000"/>
                <w:sz w:val="24"/>
                <w:szCs w:val="24"/>
              </w:rPr>
              <w:t>5</w:t>
            </w:r>
          </w:p>
        </w:tc>
        <w:tc>
          <w:tcPr>
            <w:tcW w:w="1299" w:type="dxa"/>
            <w:noWrap/>
            <w:hideMark/>
          </w:tcPr>
          <w:p w:rsidR="003D75D3" w:rsidRPr="00D263B8" w:rsidRDefault="003D75D3" w:rsidP="00E77412">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12.71%</w:t>
            </w:r>
          </w:p>
        </w:tc>
      </w:tr>
      <w:tr w:rsidR="003D75D3" w:rsidRPr="003D75D3" w:rsidTr="00D46206">
        <w:trPr>
          <w:trHeight w:val="300"/>
          <w:jc w:val="center"/>
        </w:trPr>
        <w:tc>
          <w:tcPr>
            <w:cnfStyle w:val="001000000000" w:firstRow="0" w:lastRow="0" w:firstColumn="1" w:lastColumn="0" w:oddVBand="0" w:evenVBand="0" w:oddHBand="0" w:evenHBand="0" w:firstRowFirstColumn="0" w:firstRowLastColumn="0" w:lastRowFirstColumn="0" w:lastRowLastColumn="0"/>
            <w:tcW w:w="954" w:type="dxa"/>
            <w:noWrap/>
            <w:hideMark/>
          </w:tcPr>
          <w:p w:rsidR="003D75D3" w:rsidRPr="00D263B8" w:rsidRDefault="00E77412" w:rsidP="00E77412">
            <w:pPr>
              <w:spacing w:line="276" w:lineRule="auto"/>
              <w:jc w:val="right"/>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w:t>
            </w:r>
            <w:r w:rsidR="003D75D3" w:rsidRPr="00D263B8">
              <w:rPr>
                <w:rFonts w:ascii="Calibri" w:eastAsia="Times New Roman" w:hAnsi="Calibri" w:cs="Times New Roman"/>
                <w:color w:val="000000"/>
                <w:sz w:val="24"/>
                <w:szCs w:val="24"/>
              </w:rPr>
              <w:t>2.00%</w:t>
            </w:r>
          </w:p>
        </w:tc>
        <w:tc>
          <w:tcPr>
            <w:tcW w:w="1250"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10.277495</w:t>
            </w:r>
          </w:p>
        </w:tc>
        <w:tc>
          <w:tcPr>
            <w:tcW w:w="1239"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6.62%</w:t>
            </w:r>
          </w:p>
        </w:tc>
        <w:tc>
          <w:tcPr>
            <w:tcW w:w="1250"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16.50958</w:t>
            </w:r>
            <w:r w:rsidR="00690271" w:rsidRPr="00D263B8">
              <w:rPr>
                <w:rFonts w:ascii="Calibri" w:eastAsia="Times New Roman" w:hAnsi="Calibri" w:cs="Times New Roman"/>
                <w:color w:val="000000"/>
                <w:sz w:val="24"/>
                <w:szCs w:val="24"/>
              </w:rPr>
              <w:t>9</w:t>
            </w:r>
          </w:p>
        </w:tc>
        <w:tc>
          <w:tcPr>
            <w:tcW w:w="1299"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17.61%</w:t>
            </w:r>
          </w:p>
        </w:tc>
      </w:tr>
      <w:tr w:rsidR="003D75D3" w:rsidRPr="003D75D3" w:rsidTr="00D462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54" w:type="dxa"/>
            <w:noWrap/>
            <w:hideMark/>
          </w:tcPr>
          <w:p w:rsidR="003D75D3" w:rsidRPr="00D263B8" w:rsidRDefault="003D75D3" w:rsidP="00E77412">
            <w:pPr>
              <w:spacing w:line="276" w:lineRule="auto"/>
              <w:jc w:val="right"/>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0.50%</w:t>
            </w:r>
          </w:p>
        </w:tc>
        <w:tc>
          <w:tcPr>
            <w:tcW w:w="1250" w:type="dxa"/>
            <w:noWrap/>
            <w:hideMark/>
          </w:tcPr>
          <w:p w:rsidR="003D75D3" w:rsidRPr="00D263B8" w:rsidRDefault="003D75D3" w:rsidP="00E77412">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9.496789</w:t>
            </w:r>
          </w:p>
        </w:tc>
        <w:tc>
          <w:tcPr>
            <w:tcW w:w="1239" w:type="dxa"/>
            <w:noWrap/>
            <w:hideMark/>
          </w:tcPr>
          <w:p w:rsidR="003D75D3" w:rsidRPr="00D263B8" w:rsidRDefault="003D75D3" w:rsidP="00E77412">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-1.48%</w:t>
            </w:r>
          </w:p>
        </w:tc>
        <w:tc>
          <w:tcPr>
            <w:tcW w:w="1250" w:type="dxa"/>
            <w:noWrap/>
            <w:hideMark/>
          </w:tcPr>
          <w:p w:rsidR="003D75D3" w:rsidRPr="00D263B8" w:rsidRDefault="003D75D3" w:rsidP="00E77412">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13.519192</w:t>
            </w:r>
          </w:p>
        </w:tc>
        <w:tc>
          <w:tcPr>
            <w:tcW w:w="1299" w:type="dxa"/>
            <w:noWrap/>
            <w:hideMark/>
          </w:tcPr>
          <w:p w:rsidR="003D75D3" w:rsidRPr="00D263B8" w:rsidRDefault="003D75D3" w:rsidP="00E77412">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-3.69%</w:t>
            </w:r>
          </w:p>
        </w:tc>
      </w:tr>
      <w:tr w:rsidR="003D75D3" w:rsidRPr="003D75D3" w:rsidTr="00D46206">
        <w:trPr>
          <w:trHeight w:val="300"/>
          <w:jc w:val="center"/>
        </w:trPr>
        <w:tc>
          <w:tcPr>
            <w:cnfStyle w:val="001000000000" w:firstRow="0" w:lastRow="0" w:firstColumn="1" w:lastColumn="0" w:oddVBand="0" w:evenVBand="0" w:oddHBand="0" w:evenHBand="0" w:firstRowFirstColumn="0" w:firstRowLastColumn="0" w:lastRowFirstColumn="0" w:lastRowLastColumn="0"/>
            <w:tcW w:w="954" w:type="dxa"/>
            <w:noWrap/>
            <w:hideMark/>
          </w:tcPr>
          <w:p w:rsidR="003D75D3" w:rsidRPr="00D263B8" w:rsidRDefault="003D75D3" w:rsidP="00E77412">
            <w:pPr>
              <w:spacing w:line="276" w:lineRule="auto"/>
              <w:jc w:val="right"/>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1.00%</w:t>
            </w:r>
          </w:p>
        </w:tc>
        <w:tc>
          <w:tcPr>
            <w:tcW w:w="1250"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9.360357</w:t>
            </w:r>
          </w:p>
        </w:tc>
        <w:tc>
          <w:tcPr>
            <w:tcW w:w="1239"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-2.89%</w:t>
            </w:r>
          </w:p>
        </w:tc>
        <w:tc>
          <w:tcPr>
            <w:tcW w:w="1250"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13.0332</w:t>
            </w:r>
            <w:r w:rsidR="00690271" w:rsidRPr="00D263B8">
              <w:rPr>
                <w:rFonts w:ascii="Calibri" w:eastAsia="Times New Roman" w:hAnsi="Calibri" w:cs="Times New Roman"/>
                <w:color w:val="000000"/>
                <w:sz w:val="24"/>
                <w:szCs w:val="24"/>
              </w:rPr>
              <w:t>28</w:t>
            </w:r>
          </w:p>
        </w:tc>
        <w:tc>
          <w:tcPr>
            <w:tcW w:w="1299"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-7.15%</w:t>
            </w:r>
          </w:p>
        </w:tc>
      </w:tr>
      <w:tr w:rsidR="003D75D3" w:rsidRPr="003D75D3" w:rsidTr="00D462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54" w:type="dxa"/>
            <w:noWrap/>
            <w:hideMark/>
          </w:tcPr>
          <w:p w:rsidR="003D75D3" w:rsidRPr="00D263B8" w:rsidRDefault="003D75D3" w:rsidP="00E77412">
            <w:pPr>
              <w:spacing w:line="276" w:lineRule="auto"/>
              <w:jc w:val="right"/>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1.50%</w:t>
            </w:r>
          </w:p>
        </w:tc>
        <w:tc>
          <w:tcPr>
            <w:tcW w:w="1250" w:type="dxa"/>
            <w:noWrap/>
            <w:hideMark/>
          </w:tcPr>
          <w:p w:rsidR="003D75D3" w:rsidRPr="00D263B8" w:rsidRDefault="003D75D3" w:rsidP="00E77412">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9.229426</w:t>
            </w:r>
          </w:p>
        </w:tc>
        <w:tc>
          <w:tcPr>
            <w:tcW w:w="1239" w:type="dxa"/>
            <w:noWrap/>
            <w:hideMark/>
          </w:tcPr>
          <w:p w:rsidR="003D75D3" w:rsidRPr="00D263B8" w:rsidRDefault="003D75D3" w:rsidP="00E77412">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-4.25%</w:t>
            </w:r>
          </w:p>
        </w:tc>
        <w:tc>
          <w:tcPr>
            <w:tcW w:w="1250" w:type="dxa"/>
            <w:noWrap/>
            <w:hideMark/>
          </w:tcPr>
          <w:p w:rsidR="003D75D3" w:rsidRPr="00D263B8" w:rsidRDefault="003D75D3" w:rsidP="00E77412">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12.5768</w:t>
            </w:r>
            <w:r w:rsidR="00690271" w:rsidRPr="00D263B8">
              <w:rPr>
                <w:rFonts w:ascii="Calibri" w:eastAsia="Times New Roman" w:hAnsi="Calibri" w:cs="Times New Roman"/>
                <w:color w:val="000000"/>
                <w:sz w:val="24"/>
                <w:szCs w:val="24"/>
              </w:rPr>
              <w:t>20</w:t>
            </w:r>
          </w:p>
        </w:tc>
        <w:tc>
          <w:tcPr>
            <w:tcW w:w="1299" w:type="dxa"/>
            <w:noWrap/>
            <w:hideMark/>
          </w:tcPr>
          <w:p w:rsidR="003D75D3" w:rsidRPr="00D263B8" w:rsidRDefault="003D75D3" w:rsidP="00E77412">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-10.41%</w:t>
            </w:r>
          </w:p>
        </w:tc>
      </w:tr>
      <w:tr w:rsidR="003D75D3" w:rsidRPr="003D75D3" w:rsidTr="00D46206">
        <w:trPr>
          <w:trHeight w:val="300"/>
          <w:jc w:val="center"/>
        </w:trPr>
        <w:tc>
          <w:tcPr>
            <w:cnfStyle w:val="001000000000" w:firstRow="0" w:lastRow="0" w:firstColumn="1" w:lastColumn="0" w:oddVBand="0" w:evenVBand="0" w:oddHBand="0" w:evenHBand="0" w:firstRowFirstColumn="0" w:firstRowLastColumn="0" w:lastRowFirstColumn="0" w:lastRowLastColumn="0"/>
            <w:tcW w:w="954" w:type="dxa"/>
            <w:noWrap/>
            <w:hideMark/>
          </w:tcPr>
          <w:p w:rsidR="003D75D3" w:rsidRPr="00D263B8" w:rsidRDefault="003D75D3" w:rsidP="00E77412">
            <w:pPr>
              <w:spacing w:line="276" w:lineRule="auto"/>
              <w:jc w:val="right"/>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2.00%</w:t>
            </w:r>
          </w:p>
        </w:tc>
        <w:tc>
          <w:tcPr>
            <w:tcW w:w="1250"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9.103627</w:t>
            </w:r>
          </w:p>
        </w:tc>
        <w:tc>
          <w:tcPr>
            <w:tcW w:w="1239"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-5.56%</w:t>
            </w:r>
          </w:p>
        </w:tc>
        <w:tc>
          <w:tcPr>
            <w:tcW w:w="1250"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12.14740</w:t>
            </w:r>
            <w:r w:rsidR="00690271" w:rsidRPr="00D263B8">
              <w:rPr>
                <w:rFonts w:ascii="Calibri" w:eastAsia="Times New Roman" w:hAnsi="Calibri" w:cs="Times New Roman"/>
                <w:color w:val="000000"/>
                <w:sz w:val="24"/>
                <w:szCs w:val="24"/>
              </w:rPr>
              <w:t>8</w:t>
            </w:r>
          </w:p>
        </w:tc>
        <w:tc>
          <w:tcPr>
            <w:tcW w:w="1299" w:type="dxa"/>
            <w:noWrap/>
            <w:hideMark/>
          </w:tcPr>
          <w:p w:rsidR="003D75D3" w:rsidRPr="00D263B8" w:rsidRDefault="003D75D3" w:rsidP="00E77412">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-13.47%</w:t>
            </w:r>
          </w:p>
        </w:tc>
      </w:tr>
    </w:tbl>
    <w:p w:rsidR="003D75D3" w:rsidRDefault="003D75D3" w:rsidP="00E77412">
      <w:pPr>
        <w:spacing w:after="0" w:line="360" w:lineRule="auto"/>
        <w:jc w:val="both"/>
        <w:rPr>
          <w:sz w:val="24"/>
          <w:szCs w:val="24"/>
        </w:rPr>
      </w:pPr>
    </w:p>
    <w:p w:rsidR="00E77412" w:rsidRDefault="00E77412" w:rsidP="00E77412">
      <w:pPr>
        <w:spacing w:line="360" w:lineRule="auto"/>
        <w:jc w:val="both"/>
        <w:rPr>
          <w:sz w:val="24"/>
          <w:szCs w:val="24"/>
        </w:rPr>
      </w:pPr>
      <w:r>
        <w:rPr>
          <w:sz w:val="24"/>
          <w:szCs w:val="24"/>
        </w:rPr>
        <w:t xml:space="preserve">In the above </w:t>
      </w:r>
      <w:r w:rsidR="00BB09C6">
        <w:rPr>
          <w:sz w:val="24"/>
          <w:szCs w:val="24"/>
        </w:rPr>
        <w:t xml:space="preserve">two </w:t>
      </w:r>
      <w:r>
        <w:rPr>
          <w:sz w:val="24"/>
          <w:szCs w:val="24"/>
        </w:rPr>
        <w:t>tables, a negative percentage change denotes an annual compound decrease in mortality rates</w:t>
      </w:r>
      <w:r w:rsidR="00F950C8">
        <w:rPr>
          <w:sz w:val="24"/>
          <w:szCs w:val="24"/>
        </w:rPr>
        <w:t>. The first row in each table, where a change of 0.00% is indicated, is calculated using the mortality rates assumed when pricing the product.</w:t>
      </w:r>
    </w:p>
    <w:p w:rsidR="00F950C8" w:rsidRDefault="006220C3" w:rsidP="00E77412">
      <w:pPr>
        <w:spacing w:line="360" w:lineRule="auto"/>
        <w:jc w:val="both"/>
        <w:rPr>
          <w:sz w:val="24"/>
          <w:szCs w:val="24"/>
        </w:rPr>
      </w:pPr>
      <w:r>
        <w:rPr>
          <w:sz w:val="24"/>
          <w:szCs w:val="24"/>
        </w:rPr>
        <w:lastRenderedPageBreak/>
        <w:t>A</w:t>
      </w:r>
      <w:r w:rsidR="00F950C8">
        <w:rPr>
          <w:sz w:val="24"/>
          <w:szCs w:val="24"/>
        </w:rPr>
        <w:t>ssume an annual compoun</w:t>
      </w:r>
      <w:r>
        <w:rPr>
          <w:sz w:val="24"/>
          <w:szCs w:val="24"/>
        </w:rPr>
        <w:t xml:space="preserve">d decrease in mortality of 1%, and </w:t>
      </w:r>
      <w:r w:rsidR="00421551">
        <w:rPr>
          <w:sz w:val="24"/>
          <w:szCs w:val="24"/>
        </w:rPr>
        <w:t xml:space="preserve">that </w:t>
      </w:r>
      <w:r w:rsidR="00F950C8">
        <w:rPr>
          <w:sz w:val="24"/>
          <w:szCs w:val="24"/>
        </w:rPr>
        <w:t>a</w:t>
      </w:r>
      <w:r w:rsidR="00421551">
        <w:rPr>
          <w:sz w:val="24"/>
          <w:szCs w:val="24"/>
        </w:rPr>
        <w:t>n insurance</w:t>
      </w:r>
      <w:r w:rsidR="00F950C8">
        <w:rPr>
          <w:sz w:val="24"/>
          <w:szCs w:val="24"/>
        </w:rPr>
        <w:t xml:space="preserve"> company wants to use a life assurance contract issued to a </w:t>
      </w:r>
      <w:r w:rsidR="00421551">
        <w:rPr>
          <w:sz w:val="24"/>
          <w:szCs w:val="24"/>
        </w:rPr>
        <w:t xml:space="preserve">male </w:t>
      </w:r>
      <w:r w:rsidR="00F950C8">
        <w:rPr>
          <w:sz w:val="24"/>
          <w:szCs w:val="24"/>
        </w:rPr>
        <w:t>life aged 25 to hedge a whole of life annuity</w:t>
      </w:r>
      <w:r w:rsidR="00421551">
        <w:rPr>
          <w:sz w:val="24"/>
          <w:szCs w:val="24"/>
        </w:rPr>
        <w:t xml:space="preserve"> issued to a male life aged 65. The hedge amount can then be calculated as follows:</w:t>
      </w:r>
    </w:p>
    <w:p w:rsidR="00421551" w:rsidRDefault="00421551" w:rsidP="00E77412">
      <w:pPr>
        <w:spacing w:line="360" w:lineRule="auto"/>
        <w:jc w:val="both"/>
        <w:rPr>
          <w:sz w:val="24"/>
          <w:szCs w:val="24"/>
        </w:rPr>
      </w:pPr>
      <m:oMathPara>
        <m:oMath>
          <m:r>
            <w:rPr>
              <w:rFonts w:ascii="Cambria Math" w:eastAsiaTheme="minorEastAsia" w:hAnsi="Cambria Math"/>
              <w:sz w:val="24"/>
              <w:szCs w:val="24"/>
            </w:rPr>
            <m:t xml:space="preserve">Assurances required= </m:t>
          </m:r>
          <m:f>
            <m:fPr>
              <m:ctrlPr>
                <w:rPr>
                  <w:rFonts w:ascii="Cambria Math" w:hAnsi="Cambria Math"/>
                  <w:i/>
                  <w:sz w:val="24"/>
                  <w:szCs w:val="24"/>
                </w:rPr>
              </m:ctrlPr>
            </m:fPr>
            <m:num>
              <m:d>
                <m:dPr>
                  <m:begChr m:val="|"/>
                  <m:endChr m:val="|"/>
                  <m:ctrlPr>
                    <w:rPr>
                      <w:rFonts w:ascii="Cambria Math" w:hAnsi="Cambria Math"/>
                      <w:i/>
                      <w:sz w:val="24"/>
                      <w:szCs w:val="24"/>
                    </w:rPr>
                  </m:ctrlPr>
                </m:dPr>
                <m:e>
                  <m:r>
                    <m:rPr>
                      <m:sty m:val="p"/>
                    </m:rPr>
                    <w:rPr>
                      <w:rFonts w:ascii="Cambria Math" w:eastAsia="Times New Roman" w:hAnsi="Cambria Math" w:cs="Times New Roman"/>
                      <w:color w:val="000000"/>
                    </w:rPr>
                    <m:t>9.639131-9.943421</m:t>
                  </m:r>
                </m:e>
              </m:d>
            </m:num>
            <m:den>
              <m:d>
                <m:dPr>
                  <m:begChr m:val="|"/>
                  <m:endChr m:val="|"/>
                  <m:ctrlPr>
                    <w:rPr>
                      <w:rFonts w:ascii="Cambria Math" w:hAnsi="Cambria Math"/>
                      <w:i/>
                      <w:sz w:val="24"/>
                      <w:szCs w:val="24"/>
                    </w:rPr>
                  </m:ctrlPr>
                </m:dPr>
                <m:e>
                  <m:r>
                    <m:rPr>
                      <m:sty m:val="p"/>
                    </m:rPr>
                    <w:rPr>
                      <w:rFonts w:ascii="Cambria Math" w:eastAsia="Times New Roman" w:hAnsi="Cambria Math" w:cs="Times New Roman"/>
                      <w:color w:val="000000"/>
                    </w:rPr>
                    <m:t>0.072481</m:t>
                  </m:r>
                  <m:r>
                    <m:rPr>
                      <m:sty m:val="p"/>
                    </m:rPr>
                    <w:rPr>
                      <w:rFonts w:ascii="Cambria Math" w:eastAsia="Times New Roman" w:hAnsi="Calibri" w:cs="Times New Roman"/>
                      <w:color w:val="000000"/>
                    </w:rPr>
                    <m:t>-</m:t>
                  </m:r>
                  <m:r>
                    <m:rPr>
                      <m:sty m:val="p"/>
                    </m:rPr>
                    <w:rPr>
                      <w:rFonts w:ascii="Cambria Math" w:eastAsia="Times New Roman" w:hAnsi="Cambria Math" w:cs="Times New Roman"/>
                      <w:color w:val="000000"/>
                    </w:rPr>
                    <m:t>0.059952</m:t>
                  </m:r>
                </m:e>
              </m:d>
            </m:den>
          </m:f>
          <m:r>
            <m:rPr>
              <m:sty m:val="p"/>
            </m:rPr>
            <w:rPr>
              <w:rFonts w:ascii="Cambria Math" w:hAnsi="Cambria Math"/>
              <w:sz w:val="24"/>
              <w:szCs w:val="24"/>
            </w:rPr>
            <w:br/>
          </m:r>
        </m:oMath>
        <m:oMath>
          <m:r>
            <w:rPr>
              <w:rFonts w:ascii="Cambria Math"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0.30429</m:t>
              </m:r>
            </m:num>
            <m:den>
              <m:r>
                <w:rPr>
                  <w:rFonts w:ascii="Cambria Math" w:eastAsiaTheme="minorEastAsia" w:hAnsi="Cambria Math"/>
                  <w:sz w:val="24"/>
                  <w:szCs w:val="24"/>
                </w:rPr>
                <m:t>0.012529</m:t>
              </m:r>
            </m:den>
          </m:f>
          <m:r>
            <m:rPr>
              <m:sty m:val="p"/>
            </m:rPr>
            <w:rPr>
              <w:rFonts w:ascii="Cambria Math" w:eastAsiaTheme="minorEastAsia" w:hAnsi="Cambria Math"/>
              <w:sz w:val="24"/>
              <w:szCs w:val="24"/>
            </w:rPr>
            <w:br/>
          </m:r>
        </m:oMath>
        <m:oMath>
          <m:r>
            <w:rPr>
              <w:rFonts w:ascii="Cambria Math" w:hAnsi="Cambria Math"/>
              <w:sz w:val="24"/>
              <w:szCs w:val="24"/>
            </w:rPr>
            <m:t xml:space="preserve">                                           =24.286855</m:t>
          </m:r>
        </m:oMath>
      </m:oMathPara>
    </w:p>
    <w:p w:rsidR="00F65B54" w:rsidRDefault="00145751" w:rsidP="00E77412">
      <w:pPr>
        <w:spacing w:line="360" w:lineRule="auto"/>
        <w:rPr>
          <w:sz w:val="24"/>
          <w:szCs w:val="24"/>
        </w:rPr>
      </w:pPr>
      <w:r>
        <w:rPr>
          <w:sz w:val="24"/>
          <w:szCs w:val="24"/>
        </w:rPr>
        <w:t>Therefore, for every unit of a whole life annuity issued to a male life aged 65, 24.287 units of life assurance to a male life aged 25 should be issued in order to protect the issuing company against an annual</w:t>
      </w:r>
      <w:r w:rsidR="005D67B9">
        <w:rPr>
          <w:sz w:val="24"/>
          <w:szCs w:val="24"/>
        </w:rPr>
        <w:t xml:space="preserve"> compound</w:t>
      </w:r>
      <w:r>
        <w:rPr>
          <w:sz w:val="24"/>
          <w:szCs w:val="24"/>
        </w:rPr>
        <w:t xml:space="preserve"> decrease of 1% in mortality rates.</w:t>
      </w:r>
    </w:p>
    <w:p w:rsidR="003E07B3" w:rsidRDefault="003E07B3" w:rsidP="00E77412">
      <w:pPr>
        <w:spacing w:line="360" w:lineRule="auto"/>
        <w:rPr>
          <w:sz w:val="24"/>
          <w:szCs w:val="24"/>
        </w:rPr>
      </w:pPr>
      <w:r>
        <w:rPr>
          <w:sz w:val="24"/>
          <w:szCs w:val="24"/>
        </w:rPr>
        <w:t>In order to test the sensitivity of the hedge once it is in effect, the fol</w:t>
      </w:r>
      <w:r w:rsidR="005E5361">
        <w:rPr>
          <w:sz w:val="24"/>
          <w:szCs w:val="24"/>
        </w:rPr>
        <w:t>lowing table can be constructed and calculated:</w:t>
      </w:r>
      <w:r w:rsidR="00C13D4B">
        <w:rPr>
          <w:sz w:val="24"/>
          <w:szCs w:val="24"/>
        </w:rPr>
        <w:t xml:space="preserve"> (explanation follows beneath the table)</w:t>
      </w:r>
    </w:p>
    <w:p w:rsidR="009C4D32" w:rsidRPr="00C13D4B" w:rsidRDefault="00C13D4B" w:rsidP="00C13D4B">
      <w:pPr>
        <w:pStyle w:val="Caption"/>
        <w:rPr>
          <w:sz w:val="22"/>
          <w:szCs w:val="22"/>
        </w:rPr>
      </w:pPr>
      <w:r w:rsidRPr="00C13D4B">
        <w:rPr>
          <w:sz w:val="22"/>
          <w:szCs w:val="22"/>
        </w:rPr>
        <w:t xml:space="preserve">Table </w:t>
      </w:r>
      <w:r w:rsidRPr="00C13D4B">
        <w:rPr>
          <w:sz w:val="22"/>
          <w:szCs w:val="22"/>
        </w:rPr>
        <w:fldChar w:fldCharType="begin"/>
      </w:r>
      <w:r w:rsidRPr="00C13D4B">
        <w:rPr>
          <w:sz w:val="22"/>
          <w:szCs w:val="22"/>
        </w:rPr>
        <w:instrText xml:space="preserve"> SEQ Table \* ARABIC </w:instrText>
      </w:r>
      <w:r w:rsidRPr="00C13D4B">
        <w:rPr>
          <w:sz w:val="22"/>
          <w:szCs w:val="22"/>
        </w:rPr>
        <w:fldChar w:fldCharType="separate"/>
      </w:r>
      <w:r w:rsidR="002B2B63">
        <w:rPr>
          <w:noProof/>
          <w:sz w:val="22"/>
          <w:szCs w:val="22"/>
        </w:rPr>
        <w:t>4</w:t>
      </w:r>
      <w:r w:rsidRPr="00C13D4B">
        <w:rPr>
          <w:sz w:val="22"/>
          <w:szCs w:val="22"/>
        </w:rPr>
        <w:fldChar w:fldCharType="end"/>
      </w:r>
      <w:r w:rsidRPr="00C13D4B">
        <w:rPr>
          <w:sz w:val="22"/>
          <w:szCs w:val="22"/>
        </w:rPr>
        <w:t xml:space="preserve"> - Sensitivity of a natural hedge</w:t>
      </w:r>
    </w:p>
    <w:tbl>
      <w:tblPr>
        <w:tblStyle w:val="LightShading1"/>
        <w:tblW w:w="9464" w:type="dxa"/>
        <w:tblLook w:val="04A0" w:firstRow="1" w:lastRow="0" w:firstColumn="1" w:lastColumn="0" w:noHBand="0" w:noVBand="1"/>
      </w:tblPr>
      <w:tblGrid>
        <w:gridCol w:w="758"/>
        <w:gridCol w:w="1215"/>
        <w:gridCol w:w="1976"/>
        <w:gridCol w:w="1815"/>
        <w:gridCol w:w="1134"/>
        <w:gridCol w:w="1461"/>
        <w:gridCol w:w="9"/>
        <w:gridCol w:w="1096"/>
      </w:tblGrid>
      <w:tr w:rsidR="00C13D4B" w:rsidRPr="003E07B3" w:rsidTr="00BD1DD9">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58" w:type="dxa"/>
          </w:tcPr>
          <w:p w:rsidR="00C13D4B" w:rsidRPr="00D263B8" w:rsidRDefault="00C13D4B" w:rsidP="009C4D32">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Row</w:t>
            </w:r>
          </w:p>
        </w:tc>
        <w:tc>
          <w:tcPr>
            <w:tcW w:w="1215" w:type="dxa"/>
            <w:noWrap/>
            <w:vAlign w:val="center"/>
            <w:hideMark/>
          </w:tcPr>
          <w:p w:rsidR="00C13D4B" w:rsidRPr="00D263B8" w:rsidRDefault="00C13D4B" w:rsidP="009C4D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Type</w:t>
            </w:r>
          </w:p>
        </w:tc>
        <w:tc>
          <w:tcPr>
            <w:tcW w:w="1976" w:type="dxa"/>
            <w:noWrap/>
            <w:vAlign w:val="center"/>
            <w:hideMark/>
          </w:tcPr>
          <w:p w:rsidR="00C13D4B" w:rsidRPr="00D263B8" w:rsidRDefault="00C13D4B" w:rsidP="003E07B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Change</w:t>
            </w:r>
          </w:p>
        </w:tc>
        <w:tc>
          <w:tcPr>
            <w:tcW w:w="1815" w:type="dxa"/>
            <w:noWrap/>
            <w:vAlign w:val="center"/>
            <w:hideMark/>
          </w:tcPr>
          <w:p w:rsidR="00C13D4B" w:rsidRPr="00D263B8" w:rsidRDefault="00C13D4B" w:rsidP="003E07B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Mortality Age</w:t>
            </w:r>
          </w:p>
        </w:tc>
        <w:tc>
          <w:tcPr>
            <w:tcW w:w="1134" w:type="dxa"/>
            <w:noWrap/>
            <w:vAlign w:val="center"/>
            <w:hideMark/>
          </w:tcPr>
          <w:p w:rsidR="00C13D4B" w:rsidRPr="00D263B8" w:rsidRDefault="00C13D4B" w:rsidP="003E07B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PV Age</w:t>
            </w:r>
          </w:p>
        </w:tc>
        <w:tc>
          <w:tcPr>
            <w:tcW w:w="1470" w:type="dxa"/>
            <w:gridSpan w:val="2"/>
            <w:noWrap/>
            <w:vAlign w:val="center"/>
            <w:hideMark/>
          </w:tcPr>
          <w:p w:rsidR="00C13D4B" w:rsidRPr="00D263B8" w:rsidRDefault="00C13D4B" w:rsidP="003E07B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PV</w:t>
            </w:r>
          </w:p>
        </w:tc>
        <w:tc>
          <w:tcPr>
            <w:tcW w:w="1096" w:type="dxa"/>
            <w:noWrap/>
            <w:vAlign w:val="center"/>
            <w:hideMark/>
          </w:tcPr>
          <w:p w:rsidR="00C13D4B" w:rsidRPr="00D263B8" w:rsidRDefault="00C13D4B" w:rsidP="003E07B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D263B8">
              <w:rPr>
                <w:rFonts w:ascii="Calibri" w:eastAsia="Times New Roman" w:hAnsi="Calibri" w:cs="Times New Roman"/>
                <w:color w:val="000000"/>
                <w:sz w:val="24"/>
                <w:szCs w:val="24"/>
              </w:rPr>
              <w:t>Change</w:t>
            </w:r>
          </w:p>
        </w:tc>
      </w:tr>
      <w:tr w:rsidR="00C13D4B" w:rsidRPr="003E07B3" w:rsidTr="00BD1DD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58" w:type="dxa"/>
          </w:tcPr>
          <w:p w:rsidR="00C13D4B" w:rsidRPr="003E07B3" w:rsidRDefault="00C13D4B" w:rsidP="003E07B3">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c>
          <w:tcPr>
            <w:tcW w:w="1215"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Assurance</w:t>
            </w:r>
          </w:p>
        </w:tc>
        <w:tc>
          <w:tcPr>
            <w:tcW w:w="1976"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Original</w:t>
            </w:r>
          </w:p>
        </w:tc>
        <w:tc>
          <w:tcPr>
            <w:tcW w:w="1815"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25</w:t>
            </w:r>
          </w:p>
        </w:tc>
        <w:tc>
          <w:tcPr>
            <w:tcW w:w="1134"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25</w:t>
            </w:r>
          </w:p>
        </w:tc>
        <w:tc>
          <w:tcPr>
            <w:tcW w:w="1470" w:type="dxa"/>
            <w:gridSpan w:val="2"/>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0.072481</w:t>
            </w:r>
          </w:p>
        </w:tc>
        <w:tc>
          <w:tcPr>
            <w:tcW w:w="1096"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p>
        </w:tc>
      </w:tr>
      <w:tr w:rsidR="00C13D4B" w:rsidRPr="003E07B3" w:rsidTr="00BD1DD9">
        <w:trPr>
          <w:trHeight w:val="315"/>
        </w:trPr>
        <w:tc>
          <w:tcPr>
            <w:cnfStyle w:val="001000000000" w:firstRow="0" w:lastRow="0" w:firstColumn="1" w:lastColumn="0" w:oddVBand="0" w:evenVBand="0" w:oddHBand="0" w:evenHBand="0" w:firstRowFirstColumn="0" w:firstRowLastColumn="0" w:lastRowFirstColumn="0" w:lastRowLastColumn="0"/>
            <w:tcW w:w="758" w:type="dxa"/>
          </w:tcPr>
          <w:p w:rsidR="00C13D4B" w:rsidRPr="003E07B3" w:rsidRDefault="00C13D4B" w:rsidP="003E07B3">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p>
        </w:tc>
        <w:tc>
          <w:tcPr>
            <w:tcW w:w="1215"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Annuity</w:t>
            </w:r>
          </w:p>
        </w:tc>
        <w:tc>
          <w:tcPr>
            <w:tcW w:w="1976"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Original</w:t>
            </w:r>
          </w:p>
        </w:tc>
        <w:tc>
          <w:tcPr>
            <w:tcW w:w="1815"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65</w:t>
            </w:r>
          </w:p>
        </w:tc>
        <w:tc>
          <w:tcPr>
            <w:tcW w:w="1134"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65</w:t>
            </w:r>
          </w:p>
        </w:tc>
        <w:tc>
          <w:tcPr>
            <w:tcW w:w="1470" w:type="dxa"/>
            <w:gridSpan w:val="2"/>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9.639131</w:t>
            </w:r>
          </w:p>
        </w:tc>
        <w:tc>
          <w:tcPr>
            <w:tcW w:w="1096"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p>
        </w:tc>
      </w:tr>
      <w:tr w:rsidR="00C13D4B" w:rsidRPr="003E07B3" w:rsidTr="00BD1DD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58" w:type="dxa"/>
          </w:tcPr>
          <w:p w:rsidR="00C13D4B" w:rsidRPr="003E07B3" w:rsidRDefault="00C13D4B" w:rsidP="003E07B3">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p>
        </w:tc>
        <w:tc>
          <w:tcPr>
            <w:tcW w:w="1215"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Total</w:t>
            </w:r>
          </w:p>
        </w:tc>
        <w:tc>
          <w:tcPr>
            <w:tcW w:w="1976"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Original</w:t>
            </w:r>
          </w:p>
        </w:tc>
        <w:tc>
          <w:tcPr>
            <w:tcW w:w="1815"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25 &amp; 65</w:t>
            </w:r>
          </w:p>
        </w:tc>
        <w:tc>
          <w:tcPr>
            <w:tcW w:w="1134"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25 &amp; 65</w:t>
            </w:r>
          </w:p>
        </w:tc>
        <w:tc>
          <w:tcPr>
            <w:tcW w:w="1470" w:type="dxa"/>
            <w:gridSpan w:val="2"/>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11.399426</w:t>
            </w:r>
          </w:p>
        </w:tc>
        <w:tc>
          <w:tcPr>
            <w:tcW w:w="1096"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p>
        </w:tc>
      </w:tr>
      <w:tr w:rsidR="00C13D4B" w:rsidRPr="003E07B3" w:rsidTr="00BD1DD9">
        <w:trPr>
          <w:trHeight w:val="315"/>
        </w:trPr>
        <w:tc>
          <w:tcPr>
            <w:cnfStyle w:val="001000000000" w:firstRow="0" w:lastRow="0" w:firstColumn="1" w:lastColumn="0" w:oddVBand="0" w:evenVBand="0" w:oddHBand="0" w:evenHBand="0" w:firstRowFirstColumn="0" w:firstRowLastColumn="0" w:lastRowFirstColumn="0" w:lastRowLastColumn="0"/>
            <w:tcW w:w="758" w:type="dxa"/>
          </w:tcPr>
          <w:p w:rsidR="00C13D4B" w:rsidRPr="003E07B3" w:rsidRDefault="00C13D4B" w:rsidP="003E07B3">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w:t>
            </w:r>
          </w:p>
        </w:tc>
        <w:tc>
          <w:tcPr>
            <w:tcW w:w="1215"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Assurance</w:t>
            </w:r>
          </w:p>
        </w:tc>
        <w:tc>
          <w:tcPr>
            <w:tcW w:w="1976"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 Improvement</w:t>
            </w:r>
          </w:p>
        </w:tc>
        <w:tc>
          <w:tcPr>
            <w:tcW w:w="1815"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25</w:t>
            </w:r>
          </w:p>
        </w:tc>
        <w:tc>
          <w:tcPr>
            <w:tcW w:w="1134"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25</w:t>
            </w:r>
          </w:p>
        </w:tc>
        <w:tc>
          <w:tcPr>
            <w:tcW w:w="1470" w:type="dxa"/>
            <w:gridSpan w:val="2"/>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0.059952</w:t>
            </w:r>
          </w:p>
        </w:tc>
        <w:tc>
          <w:tcPr>
            <w:tcW w:w="1096"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-17.29%</w:t>
            </w:r>
          </w:p>
        </w:tc>
      </w:tr>
      <w:tr w:rsidR="00C13D4B" w:rsidRPr="003E07B3" w:rsidTr="00BD1DD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58" w:type="dxa"/>
          </w:tcPr>
          <w:p w:rsidR="00C13D4B" w:rsidRPr="003E07B3" w:rsidRDefault="00C13D4B" w:rsidP="003E07B3">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c>
          <w:tcPr>
            <w:tcW w:w="1215"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Annuity</w:t>
            </w:r>
          </w:p>
        </w:tc>
        <w:tc>
          <w:tcPr>
            <w:tcW w:w="1976"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 Improvement</w:t>
            </w:r>
          </w:p>
        </w:tc>
        <w:tc>
          <w:tcPr>
            <w:tcW w:w="1815"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65</w:t>
            </w:r>
          </w:p>
        </w:tc>
        <w:tc>
          <w:tcPr>
            <w:tcW w:w="1134"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65</w:t>
            </w:r>
          </w:p>
        </w:tc>
        <w:tc>
          <w:tcPr>
            <w:tcW w:w="1470" w:type="dxa"/>
            <w:gridSpan w:val="2"/>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9.943421</w:t>
            </w:r>
          </w:p>
        </w:tc>
        <w:tc>
          <w:tcPr>
            <w:tcW w:w="1096"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3.16%</w:t>
            </w:r>
          </w:p>
        </w:tc>
      </w:tr>
      <w:tr w:rsidR="00C13D4B" w:rsidRPr="003E07B3" w:rsidTr="00BD1DD9">
        <w:trPr>
          <w:trHeight w:val="330"/>
        </w:trPr>
        <w:tc>
          <w:tcPr>
            <w:cnfStyle w:val="001000000000" w:firstRow="0" w:lastRow="0" w:firstColumn="1" w:lastColumn="0" w:oddVBand="0" w:evenVBand="0" w:oddHBand="0" w:evenHBand="0" w:firstRowFirstColumn="0" w:firstRowLastColumn="0" w:lastRowFirstColumn="0" w:lastRowLastColumn="0"/>
            <w:tcW w:w="758" w:type="dxa"/>
          </w:tcPr>
          <w:p w:rsidR="00C13D4B" w:rsidRPr="003E07B3" w:rsidRDefault="00C13D4B" w:rsidP="003E07B3">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w:t>
            </w:r>
          </w:p>
        </w:tc>
        <w:tc>
          <w:tcPr>
            <w:tcW w:w="1215"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Total</w:t>
            </w:r>
          </w:p>
        </w:tc>
        <w:tc>
          <w:tcPr>
            <w:tcW w:w="1976"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 Improvement</w:t>
            </w:r>
          </w:p>
        </w:tc>
        <w:tc>
          <w:tcPr>
            <w:tcW w:w="1815"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25 &amp; 65</w:t>
            </w:r>
          </w:p>
        </w:tc>
        <w:tc>
          <w:tcPr>
            <w:tcW w:w="1134"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25 &amp; 65</w:t>
            </w:r>
          </w:p>
        </w:tc>
        <w:tc>
          <w:tcPr>
            <w:tcW w:w="1461"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11.399426</w:t>
            </w:r>
          </w:p>
        </w:tc>
        <w:tc>
          <w:tcPr>
            <w:tcW w:w="1105" w:type="dxa"/>
            <w:gridSpan w:val="2"/>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0.00%</w:t>
            </w:r>
          </w:p>
        </w:tc>
      </w:tr>
      <w:tr w:rsidR="00C13D4B" w:rsidRPr="003E07B3" w:rsidTr="00BD1DD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58" w:type="dxa"/>
          </w:tcPr>
          <w:p w:rsidR="00C13D4B" w:rsidRPr="003E07B3" w:rsidRDefault="00C13D4B" w:rsidP="003E07B3">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w:t>
            </w:r>
          </w:p>
        </w:tc>
        <w:tc>
          <w:tcPr>
            <w:tcW w:w="1215"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Total</w:t>
            </w:r>
          </w:p>
        </w:tc>
        <w:tc>
          <w:tcPr>
            <w:tcW w:w="1976"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Original</w:t>
            </w:r>
          </w:p>
        </w:tc>
        <w:tc>
          <w:tcPr>
            <w:tcW w:w="1815"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25 &amp; 65</w:t>
            </w:r>
          </w:p>
        </w:tc>
        <w:tc>
          <w:tcPr>
            <w:tcW w:w="1134"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26 &amp; 66</w:t>
            </w:r>
          </w:p>
        </w:tc>
        <w:tc>
          <w:tcPr>
            <w:tcW w:w="1461"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11.201403</w:t>
            </w:r>
          </w:p>
        </w:tc>
        <w:tc>
          <w:tcPr>
            <w:tcW w:w="1105" w:type="dxa"/>
            <w:gridSpan w:val="2"/>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p>
        </w:tc>
      </w:tr>
      <w:tr w:rsidR="00C13D4B" w:rsidRPr="003E07B3" w:rsidTr="00BD1DD9">
        <w:trPr>
          <w:trHeight w:val="315"/>
        </w:trPr>
        <w:tc>
          <w:tcPr>
            <w:cnfStyle w:val="001000000000" w:firstRow="0" w:lastRow="0" w:firstColumn="1" w:lastColumn="0" w:oddVBand="0" w:evenVBand="0" w:oddHBand="0" w:evenHBand="0" w:firstRowFirstColumn="0" w:firstRowLastColumn="0" w:lastRowFirstColumn="0" w:lastRowLastColumn="0"/>
            <w:tcW w:w="758" w:type="dxa"/>
          </w:tcPr>
          <w:p w:rsidR="00C13D4B" w:rsidRPr="003E07B3" w:rsidRDefault="00C13D4B" w:rsidP="003E07B3">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8</w:t>
            </w:r>
          </w:p>
        </w:tc>
        <w:tc>
          <w:tcPr>
            <w:tcW w:w="1215"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Total</w:t>
            </w:r>
          </w:p>
        </w:tc>
        <w:tc>
          <w:tcPr>
            <w:tcW w:w="1976"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 Improvement</w:t>
            </w:r>
          </w:p>
        </w:tc>
        <w:tc>
          <w:tcPr>
            <w:tcW w:w="1815"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25 &amp; 65</w:t>
            </w:r>
          </w:p>
        </w:tc>
        <w:tc>
          <w:tcPr>
            <w:tcW w:w="1134"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26 &amp; 66</w:t>
            </w:r>
          </w:p>
        </w:tc>
        <w:tc>
          <w:tcPr>
            <w:tcW w:w="1461"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11.206053</w:t>
            </w:r>
          </w:p>
        </w:tc>
        <w:tc>
          <w:tcPr>
            <w:tcW w:w="1105" w:type="dxa"/>
            <w:gridSpan w:val="2"/>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0.04%</w:t>
            </w:r>
          </w:p>
        </w:tc>
      </w:tr>
      <w:tr w:rsidR="00C13D4B" w:rsidRPr="003E07B3" w:rsidTr="00BD1DD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58" w:type="dxa"/>
          </w:tcPr>
          <w:p w:rsidR="00C13D4B" w:rsidRPr="003E07B3" w:rsidRDefault="00C13D4B" w:rsidP="003E07B3">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9</w:t>
            </w:r>
          </w:p>
        </w:tc>
        <w:tc>
          <w:tcPr>
            <w:tcW w:w="1215"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Total</w:t>
            </w:r>
          </w:p>
        </w:tc>
        <w:tc>
          <w:tcPr>
            <w:tcW w:w="1976"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Original</w:t>
            </w:r>
          </w:p>
        </w:tc>
        <w:tc>
          <w:tcPr>
            <w:tcW w:w="1815"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25 &amp; 65</w:t>
            </w:r>
          </w:p>
        </w:tc>
        <w:tc>
          <w:tcPr>
            <w:tcW w:w="1134"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27 &amp; 67</w:t>
            </w:r>
          </w:p>
        </w:tc>
        <w:tc>
          <w:tcPr>
            <w:tcW w:w="1461"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11.007780</w:t>
            </w:r>
          </w:p>
        </w:tc>
        <w:tc>
          <w:tcPr>
            <w:tcW w:w="1105" w:type="dxa"/>
            <w:gridSpan w:val="2"/>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p>
        </w:tc>
      </w:tr>
      <w:tr w:rsidR="00C13D4B" w:rsidRPr="003E07B3" w:rsidTr="00BD1DD9">
        <w:trPr>
          <w:trHeight w:val="315"/>
        </w:trPr>
        <w:tc>
          <w:tcPr>
            <w:cnfStyle w:val="001000000000" w:firstRow="0" w:lastRow="0" w:firstColumn="1" w:lastColumn="0" w:oddVBand="0" w:evenVBand="0" w:oddHBand="0" w:evenHBand="0" w:firstRowFirstColumn="0" w:firstRowLastColumn="0" w:lastRowFirstColumn="0" w:lastRowLastColumn="0"/>
            <w:tcW w:w="758" w:type="dxa"/>
          </w:tcPr>
          <w:p w:rsidR="00C13D4B" w:rsidRPr="003E07B3" w:rsidRDefault="00C13D4B" w:rsidP="003E07B3">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w:t>
            </w:r>
          </w:p>
        </w:tc>
        <w:tc>
          <w:tcPr>
            <w:tcW w:w="1215"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Total</w:t>
            </w:r>
          </w:p>
        </w:tc>
        <w:tc>
          <w:tcPr>
            <w:tcW w:w="1976"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 Improvement</w:t>
            </w:r>
          </w:p>
        </w:tc>
        <w:tc>
          <w:tcPr>
            <w:tcW w:w="1815"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25 &amp; 65</w:t>
            </w:r>
          </w:p>
        </w:tc>
        <w:tc>
          <w:tcPr>
            <w:tcW w:w="1134"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27 &amp; 67</w:t>
            </w:r>
          </w:p>
        </w:tc>
        <w:tc>
          <w:tcPr>
            <w:tcW w:w="1461"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11.016502</w:t>
            </w:r>
          </w:p>
        </w:tc>
        <w:tc>
          <w:tcPr>
            <w:tcW w:w="1105" w:type="dxa"/>
            <w:gridSpan w:val="2"/>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0.08%</w:t>
            </w:r>
          </w:p>
        </w:tc>
      </w:tr>
      <w:tr w:rsidR="00C13D4B" w:rsidRPr="003E07B3" w:rsidTr="00BD1DD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58" w:type="dxa"/>
          </w:tcPr>
          <w:p w:rsidR="00C13D4B" w:rsidRPr="003E07B3" w:rsidRDefault="00C13D4B" w:rsidP="003E07B3">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w:t>
            </w:r>
          </w:p>
        </w:tc>
        <w:tc>
          <w:tcPr>
            <w:tcW w:w="1215"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Total</w:t>
            </w:r>
          </w:p>
        </w:tc>
        <w:tc>
          <w:tcPr>
            <w:tcW w:w="1976"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Original</w:t>
            </w:r>
          </w:p>
        </w:tc>
        <w:tc>
          <w:tcPr>
            <w:tcW w:w="1815"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25 &amp; 65</w:t>
            </w:r>
          </w:p>
        </w:tc>
        <w:tc>
          <w:tcPr>
            <w:tcW w:w="1134"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28 &amp; 68</w:t>
            </w:r>
          </w:p>
        </w:tc>
        <w:tc>
          <w:tcPr>
            <w:tcW w:w="1461"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10.819575</w:t>
            </w:r>
          </w:p>
        </w:tc>
        <w:tc>
          <w:tcPr>
            <w:tcW w:w="1105" w:type="dxa"/>
            <w:gridSpan w:val="2"/>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p>
        </w:tc>
      </w:tr>
      <w:tr w:rsidR="00C13D4B" w:rsidRPr="003E07B3" w:rsidTr="00BD1DD9">
        <w:trPr>
          <w:trHeight w:val="315"/>
        </w:trPr>
        <w:tc>
          <w:tcPr>
            <w:cnfStyle w:val="001000000000" w:firstRow="0" w:lastRow="0" w:firstColumn="1" w:lastColumn="0" w:oddVBand="0" w:evenVBand="0" w:oddHBand="0" w:evenHBand="0" w:firstRowFirstColumn="0" w:firstRowLastColumn="0" w:lastRowFirstColumn="0" w:lastRowLastColumn="0"/>
            <w:tcW w:w="758" w:type="dxa"/>
          </w:tcPr>
          <w:p w:rsidR="00C13D4B" w:rsidRPr="003E07B3" w:rsidRDefault="00C13D4B" w:rsidP="003E07B3">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p>
        </w:tc>
        <w:tc>
          <w:tcPr>
            <w:tcW w:w="1215"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Total</w:t>
            </w:r>
          </w:p>
        </w:tc>
        <w:tc>
          <w:tcPr>
            <w:tcW w:w="1976"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 Improvement</w:t>
            </w:r>
          </w:p>
        </w:tc>
        <w:tc>
          <w:tcPr>
            <w:tcW w:w="1815"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25 &amp; 65</w:t>
            </w:r>
          </w:p>
        </w:tc>
        <w:tc>
          <w:tcPr>
            <w:tcW w:w="1134"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28 &amp; 68</w:t>
            </w:r>
          </w:p>
        </w:tc>
        <w:tc>
          <w:tcPr>
            <w:tcW w:w="1461"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10.831616</w:t>
            </w:r>
          </w:p>
        </w:tc>
        <w:tc>
          <w:tcPr>
            <w:tcW w:w="1105" w:type="dxa"/>
            <w:gridSpan w:val="2"/>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0.11%</w:t>
            </w:r>
          </w:p>
        </w:tc>
      </w:tr>
      <w:tr w:rsidR="00C13D4B" w:rsidRPr="003E07B3" w:rsidTr="00BD1DD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58" w:type="dxa"/>
          </w:tcPr>
          <w:p w:rsidR="00C13D4B" w:rsidRPr="003E07B3" w:rsidRDefault="00C13D4B" w:rsidP="003E07B3">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w:t>
            </w:r>
          </w:p>
        </w:tc>
        <w:tc>
          <w:tcPr>
            <w:tcW w:w="1215"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Total</w:t>
            </w:r>
          </w:p>
        </w:tc>
        <w:tc>
          <w:tcPr>
            <w:tcW w:w="1976"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Original</w:t>
            </w:r>
          </w:p>
        </w:tc>
        <w:tc>
          <w:tcPr>
            <w:tcW w:w="1815"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25 &amp; 65</w:t>
            </w:r>
          </w:p>
        </w:tc>
        <w:tc>
          <w:tcPr>
            <w:tcW w:w="1134"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29 &amp; 69</w:t>
            </w:r>
          </w:p>
        </w:tc>
        <w:tc>
          <w:tcPr>
            <w:tcW w:w="1461"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10.637858</w:t>
            </w:r>
          </w:p>
        </w:tc>
        <w:tc>
          <w:tcPr>
            <w:tcW w:w="1105" w:type="dxa"/>
            <w:gridSpan w:val="2"/>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p>
        </w:tc>
      </w:tr>
      <w:tr w:rsidR="00C13D4B" w:rsidRPr="003E07B3" w:rsidTr="00BD1DD9">
        <w:trPr>
          <w:trHeight w:val="315"/>
        </w:trPr>
        <w:tc>
          <w:tcPr>
            <w:cnfStyle w:val="001000000000" w:firstRow="0" w:lastRow="0" w:firstColumn="1" w:lastColumn="0" w:oddVBand="0" w:evenVBand="0" w:oddHBand="0" w:evenHBand="0" w:firstRowFirstColumn="0" w:firstRowLastColumn="0" w:lastRowFirstColumn="0" w:lastRowLastColumn="0"/>
            <w:tcW w:w="758" w:type="dxa"/>
          </w:tcPr>
          <w:p w:rsidR="00C13D4B" w:rsidRPr="003E07B3" w:rsidRDefault="00C13D4B" w:rsidP="003E07B3">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w:t>
            </w:r>
          </w:p>
        </w:tc>
        <w:tc>
          <w:tcPr>
            <w:tcW w:w="1215"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Total</w:t>
            </w:r>
          </w:p>
        </w:tc>
        <w:tc>
          <w:tcPr>
            <w:tcW w:w="1976"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 Improvement</w:t>
            </w:r>
          </w:p>
        </w:tc>
        <w:tc>
          <w:tcPr>
            <w:tcW w:w="1815"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25 &amp; 65</w:t>
            </w:r>
          </w:p>
        </w:tc>
        <w:tc>
          <w:tcPr>
            <w:tcW w:w="1134"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29 &amp; 69</w:t>
            </w:r>
          </w:p>
        </w:tc>
        <w:tc>
          <w:tcPr>
            <w:tcW w:w="1461"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10.652288</w:t>
            </w:r>
          </w:p>
        </w:tc>
        <w:tc>
          <w:tcPr>
            <w:tcW w:w="1105" w:type="dxa"/>
            <w:gridSpan w:val="2"/>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0.14%</w:t>
            </w:r>
          </w:p>
        </w:tc>
      </w:tr>
      <w:tr w:rsidR="00C13D4B" w:rsidRPr="003E07B3" w:rsidTr="00BD1DD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58" w:type="dxa"/>
          </w:tcPr>
          <w:p w:rsidR="00C13D4B" w:rsidRPr="003E07B3" w:rsidRDefault="00C13D4B" w:rsidP="003E07B3">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w:t>
            </w:r>
          </w:p>
        </w:tc>
        <w:tc>
          <w:tcPr>
            <w:tcW w:w="1215"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Total</w:t>
            </w:r>
          </w:p>
        </w:tc>
        <w:tc>
          <w:tcPr>
            <w:tcW w:w="1976"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Original</w:t>
            </w:r>
          </w:p>
        </w:tc>
        <w:tc>
          <w:tcPr>
            <w:tcW w:w="1815"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25 &amp; 65</w:t>
            </w:r>
          </w:p>
        </w:tc>
        <w:tc>
          <w:tcPr>
            <w:tcW w:w="1134"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30 &amp; 70</w:t>
            </w:r>
          </w:p>
        </w:tc>
        <w:tc>
          <w:tcPr>
            <w:tcW w:w="1461" w:type="dxa"/>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10.463678</w:t>
            </w:r>
          </w:p>
        </w:tc>
        <w:tc>
          <w:tcPr>
            <w:tcW w:w="1105" w:type="dxa"/>
            <w:gridSpan w:val="2"/>
            <w:noWrap/>
            <w:vAlign w:val="center"/>
            <w:hideMark/>
          </w:tcPr>
          <w:p w:rsidR="00C13D4B" w:rsidRPr="003E07B3" w:rsidRDefault="00C13D4B" w:rsidP="003E0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p>
        </w:tc>
      </w:tr>
      <w:tr w:rsidR="00C13D4B" w:rsidRPr="003E07B3" w:rsidTr="00BD1DD9">
        <w:trPr>
          <w:trHeight w:val="315"/>
        </w:trPr>
        <w:tc>
          <w:tcPr>
            <w:cnfStyle w:val="001000000000" w:firstRow="0" w:lastRow="0" w:firstColumn="1" w:lastColumn="0" w:oddVBand="0" w:evenVBand="0" w:oddHBand="0" w:evenHBand="0" w:firstRowFirstColumn="0" w:firstRowLastColumn="0" w:lastRowFirstColumn="0" w:lastRowLastColumn="0"/>
            <w:tcW w:w="758" w:type="dxa"/>
          </w:tcPr>
          <w:p w:rsidR="00C13D4B" w:rsidRPr="003E07B3" w:rsidRDefault="00C13D4B" w:rsidP="003E07B3">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16</w:t>
            </w:r>
          </w:p>
        </w:tc>
        <w:tc>
          <w:tcPr>
            <w:tcW w:w="1215"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Total</w:t>
            </w:r>
          </w:p>
        </w:tc>
        <w:tc>
          <w:tcPr>
            <w:tcW w:w="1976"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 Improvement</w:t>
            </w:r>
          </w:p>
        </w:tc>
        <w:tc>
          <w:tcPr>
            <w:tcW w:w="1815"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25 &amp; 65</w:t>
            </w:r>
          </w:p>
        </w:tc>
        <w:tc>
          <w:tcPr>
            <w:tcW w:w="1134"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30 &amp; 70</w:t>
            </w:r>
          </w:p>
        </w:tc>
        <w:tc>
          <w:tcPr>
            <w:tcW w:w="1461" w:type="dxa"/>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10.479380</w:t>
            </w:r>
          </w:p>
        </w:tc>
        <w:tc>
          <w:tcPr>
            <w:tcW w:w="1105" w:type="dxa"/>
            <w:gridSpan w:val="2"/>
            <w:noWrap/>
            <w:vAlign w:val="center"/>
            <w:hideMark/>
          </w:tcPr>
          <w:p w:rsidR="00C13D4B" w:rsidRPr="003E07B3" w:rsidRDefault="00C13D4B" w:rsidP="003E0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E07B3">
              <w:rPr>
                <w:rFonts w:ascii="Calibri" w:eastAsia="Times New Roman" w:hAnsi="Calibri" w:cs="Times New Roman"/>
                <w:color w:val="000000"/>
                <w:sz w:val="24"/>
                <w:szCs w:val="24"/>
              </w:rPr>
              <w:t>0.15%</w:t>
            </w:r>
          </w:p>
        </w:tc>
      </w:tr>
    </w:tbl>
    <w:p w:rsidR="003E07B3" w:rsidRDefault="003E07B3" w:rsidP="005E5361">
      <w:pPr>
        <w:spacing w:after="0"/>
        <w:rPr>
          <w:sz w:val="24"/>
          <w:szCs w:val="24"/>
        </w:rPr>
      </w:pPr>
    </w:p>
    <w:p w:rsidR="0038726D" w:rsidRDefault="005E5361" w:rsidP="006F6849">
      <w:pPr>
        <w:spacing w:line="360" w:lineRule="auto"/>
        <w:jc w:val="both"/>
        <w:rPr>
          <w:sz w:val="24"/>
          <w:szCs w:val="24"/>
        </w:rPr>
      </w:pPr>
      <w:r>
        <w:rPr>
          <w:sz w:val="24"/>
          <w:szCs w:val="24"/>
        </w:rPr>
        <w:lastRenderedPageBreak/>
        <w:t>Note that for the sake of simplicity some of the rows in the abo</w:t>
      </w:r>
      <w:r w:rsidR="009C4D32">
        <w:rPr>
          <w:sz w:val="24"/>
          <w:szCs w:val="24"/>
        </w:rPr>
        <w:t>ve table have been removed. T</w:t>
      </w:r>
      <w:r>
        <w:rPr>
          <w:sz w:val="24"/>
          <w:szCs w:val="24"/>
        </w:rPr>
        <w:t>able</w:t>
      </w:r>
      <w:r w:rsidR="009C4D32">
        <w:rPr>
          <w:sz w:val="24"/>
          <w:szCs w:val="24"/>
        </w:rPr>
        <w:t xml:space="preserve"> </w:t>
      </w:r>
      <w:r w:rsidR="008C47B5">
        <w:rPr>
          <w:sz w:val="24"/>
          <w:szCs w:val="24"/>
        </w:rPr>
        <w:t>4</w:t>
      </w:r>
      <w:r w:rsidR="009C4D32">
        <w:rPr>
          <w:sz w:val="24"/>
          <w:szCs w:val="24"/>
        </w:rPr>
        <w:t>,</w:t>
      </w:r>
      <w:r>
        <w:rPr>
          <w:sz w:val="24"/>
          <w:szCs w:val="24"/>
        </w:rPr>
        <w:t xml:space="preserve"> shown above</w:t>
      </w:r>
      <w:r w:rsidR="009C4D32">
        <w:rPr>
          <w:sz w:val="24"/>
          <w:szCs w:val="24"/>
        </w:rPr>
        <w:t>,</w:t>
      </w:r>
      <w:r>
        <w:rPr>
          <w:sz w:val="24"/>
          <w:szCs w:val="24"/>
        </w:rPr>
        <w:t xml:space="preserve"> can be interpreted as follows</w:t>
      </w:r>
      <w:r w:rsidR="00C13D4B">
        <w:rPr>
          <w:sz w:val="24"/>
          <w:szCs w:val="24"/>
        </w:rPr>
        <w:t>, considering a 1% improvement hedge</w:t>
      </w:r>
      <w:r>
        <w:rPr>
          <w:sz w:val="24"/>
          <w:szCs w:val="24"/>
        </w:rPr>
        <w:t>:</w:t>
      </w:r>
    </w:p>
    <w:p w:rsidR="00D6657D" w:rsidRDefault="00F84E4E" w:rsidP="006F6849">
      <w:pPr>
        <w:spacing w:line="360" w:lineRule="auto"/>
        <w:jc w:val="both"/>
        <w:rPr>
          <w:rFonts w:eastAsiaTheme="minorEastAsia"/>
          <w:sz w:val="24"/>
          <w:szCs w:val="24"/>
        </w:rPr>
      </w:pPr>
      <w:r>
        <w:rPr>
          <w:sz w:val="24"/>
          <w:szCs w:val="24"/>
        </w:rPr>
        <w:t>The first two rows show the present values of the two products under the assumption of no change in the mortality rates. This will be the price charged by the insurance company.</w:t>
      </w:r>
      <w:r w:rsidR="003A5097">
        <w:rPr>
          <w:sz w:val="24"/>
          <w:szCs w:val="24"/>
        </w:rPr>
        <w:t xml:space="preserve"> The third row shows the total present value using the ratio calculated earlier. Recall tha</w:t>
      </w:r>
      <w:r w:rsidR="009B1969">
        <w:rPr>
          <w:sz w:val="24"/>
          <w:szCs w:val="24"/>
        </w:rPr>
        <w:t xml:space="preserve">t the ratio can be expressed </w:t>
      </w:r>
      <w:r w:rsidR="001627C3">
        <w:rPr>
          <w:sz w:val="24"/>
          <w:szCs w:val="24"/>
        </w:rPr>
        <w:t>as</w:t>
      </w:r>
      <m:oMath>
        <m:r>
          <w:rPr>
            <w:rFonts w:ascii="Cambria Math" w:hAnsi="Cambria Math"/>
            <w:sz w:val="24"/>
            <w:szCs w:val="24"/>
          </w:rPr>
          <m:t xml:space="preserve"> annuities:assurances</m:t>
        </m:r>
        <m:r>
          <w:rPr>
            <w:rFonts w:ascii="Cambria Math" w:eastAsiaTheme="minorEastAsia" w:hAnsi="Cambria Math"/>
            <w:sz w:val="24"/>
            <w:szCs w:val="24"/>
          </w:rPr>
          <m:t>=1:</m:t>
        </m:r>
        <m:r>
          <w:rPr>
            <w:rFonts w:ascii="Cambria Math" w:hAnsi="Cambria Math"/>
            <w:sz w:val="24"/>
            <w:szCs w:val="24"/>
          </w:rPr>
          <m:t>24.286855</m:t>
        </m:r>
      </m:oMath>
      <w:r w:rsidR="001627C3">
        <w:rPr>
          <w:rFonts w:eastAsiaTheme="minorEastAsia"/>
          <w:sz w:val="24"/>
          <w:szCs w:val="24"/>
        </w:rPr>
        <w:t>.</w:t>
      </w:r>
    </w:p>
    <w:p w:rsidR="00D4495A" w:rsidRDefault="00D6657D" w:rsidP="006F6849">
      <w:pPr>
        <w:spacing w:line="360" w:lineRule="auto"/>
        <w:jc w:val="both"/>
        <w:rPr>
          <w:rFonts w:eastAsiaTheme="minorEastAsia"/>
          <w:sz w:val="24"/>
          <w:szCs w:val="24"/>
        </w:rPr>
      </w:pPr>
      <w:r>
        <w:rPr>
          <w:rFonts w:eastAsiaTheme="minorEastAsia"/>
          <w:sz w:val="24"/>
          <w:szCs w:val="24"/>
        </w:rPr>
        <w:t xml:space="preserve">The </w:t>
      </w:r>
      <w:r w:rsidR="00285277">
        <w:rPr>
          <w:rFonts w:eastAsiaTheme="minorEastAsia"/>
          <w:sz w:val="24"/>
          <w:szCs w:val="24"/>
        </w:rPr>
        <w:t>fourth and fifth</w:t>
      </w:r>
      <w:r>
        <w:rPr>
          <w:rFonts w:eastAsiaTheme="minorEastAsia"/>
          <w:sz w:val="24"/>
          <w:szCs w:val="24"/>
        </w:rPr>
        <w:t xml:space="preserve"> rows show the present value of the two products calculated under the assumption of an annual compound decrease of 1% in mortality rates.</w:t>
      </w:r>
      <w:r w:rsidR="00285277">
        <w:rPr>
          <w:rFonts w:eastAsiaTheme="minorEastAsia"/>
          <w:sz w:val="24"/>
          <w:szCs w:val="24"/>
        </w:rPr>
        <w:t xml:space="preserve"> In the last column it can be seen that without any hedging the present value of the annuity increases by 3.16% while the present value of the assurance decreases by 17.29%.</w:t>
      </w:r>
    </w:p>
    <w:p w:rsidR="0038726D" w:rsidRDefault="00D4495A" w:rsidP="006F6849">
      <w:pPr>
        <w:spacing w:line="360" w:lineRule="auto"/>
        <w:jc w:val="both"/>
        <w:rPr>
          <w:rFonts w:eastAsiaTheme="minorEastAsia"/>
          <w:sz w:val="24"/>
          <w:szCs w:val="24"/>
        </w:rPr>
      </w:pPr>
      <w:r>
        <w:rPr>
          <w:rFonts w:eastAsiaTheme="minorEastAsia"/>
          <w:sz w:val="24"/>
          <w:szCs w:val="24"/>
        </w:rPr>
        <w:t xml:space="preserve">The sixth row then shows the total present value under the hedge and the assumption of an annual </w:t>
      </w:r>
      <w:r w:rsidR="00C13D4B">
        <w:rPr>
          <w:rFonts w:eastAsiaTheme="minorEastAsia"/>
          <w:sz w:val="24"/>
          <w:szCs w:val="24"/>
        </w:rPr>
        <w:t xml:space="preserve">1% </w:t>
      </w:r>
      <w:r>
        <w:rPr>
          <w:rFonts w:eastAsiaTheme="minorEastAsia"/>
          <w:sz w:val="24"/>
          <w:szCs w:val="24"/>
        </w:rPr>
        <w:t xml:space="preserve">compound </w:t>
      </w:r>
      <w:r w:rsidR="00C13D4B">
        <w:rPr>
          <w:rFonts w:eastAsiaTheme="minorEastAsia"/>
          <w:sz w:val="24"/>
          <w:szCs w:val="24"/>
        </w:rPr>
        <w:t>improvement</w:t>
      </w:r>
      <w:r>
        <w:rPr>
          <w:rFonts w:eastAsiaTheme="minorEastAsia"/>
          <w:sz w:val="24"/>
          <w:szCs w:val="24"/>
        </w:rPr>
        <w:t xml:space="preserve"> in mortality rates. It can be seen that the total present value is now the same under the assumption of no change in </w:t>
      </w:r>
      <w:r w:rsidR="00C13D4B">
        <w:rPr>
          <w:rFonts w:eastAsiaTheme="minorEastAsia"/>
          <w:sz w:val="24"/>
          <w:szCs w:val="24"/>
        </w:rPr>
        <w:t xml:space="preserve">row three the improvement </w:t>
      </w:r>
      <w:r>
        <w:rPr>
          <w:rFonts w:eastAsiaTheme="minorEastAsia"/>
          <w:sz w:val="24"/>
          <w:szCs w:val="24"/>
        </w:rPr>
        <w:t xml:space="preserve">of 1% </w:t>
      </w:r>
      <w:r w:rsidR="00C13D4B">
        <w:rPr>
          <w:rFonts w:eastAsiaTheme="minorEastAsia"/>
          <w:sz w:val="24"/>
          <w:szCs w:val="24"/>
        </w:rPr>
        <w:t>after the hedge in row six</w:t>
      </w:r>
      <w:r>
        <w:rPr>
          <w:rFonts w:eastAsiaTheme="minorEastAsia"/>
          <w:sz w:val="24"/>
          <w:szCs w:val="24"/>
        </w:rPr>
        <w:t>.</w:t>
      </w:r>
    </w:p>
    <w:p w:rsidR="00D4495A" w:rsidRDefault="0038726D" w:rsidP="006F6849">
      <w:pPr>
        <w:spacing w:line="360" w:lineRule="auto"/>
        <w:jc w:val="both"/>
        <w:rPr>
          <w:rFonts w:eastAsiaTheme="minorEastAsia"/>
          <w:sz w:val="24"/>
          <w:szCs w:val="24"/>
        </w:rPr>
      </w:pPr>
      <w:r>
        <w:rPr>
          <w:rFonts w:eastAsiaTheme="minorEastAsia"/>
          <w:sz w:val="24"/>
          <w:szCs w:val="24"/>
        </w:rPr>
        <w:t>The third column “Mortality Age” can be interpreted as the age at which the change in mortality rates start. In the example the ages shown in the third column stays the same because that is the age at which the products were issued.</w:t>
      </w:r>
    </w:p>
    <w:p w:rsidR="000E4970" w:rsidRDefault="0038726D" w:rsidP="006F6849">
      <w:pPr>
        <w:spacing w:line="360" w:lineRule="auto"/>
        <w:jc w:val="both"/>
        <w:rPr>
          <w:rFonts w:eastAsiaTheme="minorEastAsia"/>
          <w:sz w:val="24"/>
          <w:szCs w:val="24"/>
        </w:rPr>
      </w:pPr>
      <w:r>
        <w:rPr>
          <w:rFonts w:eastAsiaTheme="minorEastAsia"/>
          <w:sz w:val="24"/>
          <w:szCs w:val="24"/>
        </w:rPr>
        <w:t xml:space="preserve">The fourth column “PV Age” shows the ages at which the total present value is calculated. For the first five years after the products were issued the total present value is calculated under the assumption of the hedge calculated earlier. The total present value is first calculated under the assumption of no change in the mortality rates and then under the assumption of an annual </w:t>
      </w:r>
      <w:r w:rsidR="000E4970">
        <w:rPr>
          <w:rFonts w:eastAsiaTheme="minorEastAsia"/>
          <w:sz w:val="24"/>
          <w:szCs w:val="24"/>
        </w:rPr>
        <w:t xml:space="preserve">compound </w:t>
      </w:r>
      <w:r>
        <w:rPr>
          <w:rFonts w:eastAsiaTheme="minorEastAsia"/>
          <w:sz w:val="24"/>
          <w:szCs w:val="24"/>
        </w:rPr>
        <w:t>decrease of 1% in the mortality rates.</w:t>
      </w:r>
    </w:p>
    <w:p w:rsidR="002E670B" w:rsidRDefault="000E4970" w:rsidP="006F6849">
      <w:pPr>
        <w:spacing w:line="360" w:lineRule="auto"/>
        <w:jc w:val="both"/>
        <w:rPr>
          <w:rFonts w:eastAsiaTheme="minorEastAsia"/>
          <w:sz w:val="24"/>
          <w:szCs w:val="24"/>
        </w:rPr>
      </w:pPr>
      <w:r>
        <w:rPr>
          <w:rFonts w:eastAsiaTheme="minorEastAsia"/>
          <w:sz w:val="24"/>
          <w:szCs w:val="24"/>
        </w:rPr>
        <w:t>From the table it can be seen that after 1 year, when the assured life is now 26 years old and the annuitant is now 66 years old, the total present value</w:t>
      </w:r>
      <w:r w:rsidR="00C13D4B">
        <w:rPr>
          <w:rFonts w:eastAsiaTheme="minorEastAsia"/>
          <w:sz w:val="24"/>
          <w:szCs w:val="24"/>
        </w:rPr>
        <w:t>, or hedged position,</w:t>
      </w:r>
      <w:r>
        <w:rPr>
          <w:rFonts w:eastAsiaTheme="minorEastAsia"/>
          <w:sz w:val="24"/>
          <w:szCs w:val="24"/>
        </w:rPr>
        <w:t xml:space="preserve"> has changed by </w:t>
      </w:r>
      <w:r>
        <w:rPr>
          <w:rFonts w:eastAsiaTheme="minorEastAsia"/>
          <w:sz w:val="24"/>
          <w:szCs w:val="24"/>
        </w:rPr>
        <w:lastRenderedPageBreak/>
        <w:t>0.04% from the total present value if mortality rates do not change. This change of 0.04% amou</w:t>
      </w:r>
      <w:r w:rsidR="00BB09C6">
        <w:rPr>
          <w:rFonts w:eastAsiaTheme="minorEastAsia"/>
          <w:sz w:val="24"/>
          <w:szCs w:val="24"/>
        </w:rPr>
        <w:t xml:space="preserve">nts to extra liability of only </w:t>
      </w:r>
      <w:r>
        <w:rPr>
          <w:rFonts w:eastAsiaTheme="minorEastAsia"/>
          <w:sz w:val="24"/>
          <w:szCs w:val="24"/>
        </w:rPr>
        <w:t>0.00465</w:t>
      </w:r>
      <w:r w:rsidR="00BB09C6">
        <w:rPr>
          <w:rFonts w:eastAsiaTheme="minorEastAsia"/>
          <w:sz w:val="24"/>
          <w:szCs w:val="24"/>
        </w:rPr>
        <w:t xml:space="preserve"> currency units</w:t>
      </w:r>
      <w:r w:rsidR="00C13D4B">
        <w:rPr>
          <w:rStyle w:val="FootnoteReference"/>
          <w:rFonts w:eastAsiaTheme="minorEastAsia"/>
          <w:sz w:val="24"/>
          <w:szCs w:val="24"/>
        </w:rPr>
        <w:footnoteReference w:id="2"/>
      </w:r>
      <w:r w:rsidR="00BB09C6">
        <w:rPr>
          <w:rFonts w:eastAsiaTheme="minorEastAsia"/>
          <w:sz w:val="24"/>
          <w:szCs w:val="24"/>
        </w:rPr>
        <w:t>.</w:t>
      </w:r>
    </w:p>
    <w:p w:rsidR="00532974" w:rsidRDefault="002E670B" w:rsidP="006F6849">
      <w:pPr>
        <w:spacing w:line="360" w:lineRule="auto"/>
        <w:jc w:val="both"/>
        <w:rPr>
          <w:rFonts w:ascii="Calibri" w:eastAsia="Times New Roman" w:hAnsi="Calibri" w:cs="Times New Roman"/>
          <w:color w:val="000000"/>
          <w:sz w:val="24"/>
          <w:szCs w:val="24"/>
        </w:rPr>
      </w:pPr>
      <w:r>
        <w:rPr>
          <w:rFonts w:eastAsiaTheme="minorEastAsia"/>
          <w:sz w:val="24"/>
          <w:szCs w:val="24"/>
        </w:rPr>
        <w:t>Even more importantly, after five years the total present value under the hedge and the assumption of an annual compound decrease of 1% in mortality rates have only deviated by 0.15% from the total present value if mortality rates were not to change at all. Therefore, the natural hedge significantly reduces the company’s total exposure to longevity risk.</w:t>
      </w:r>
      <w:r w:rsidR="00433A2F">
        <w:rPr>
          <w:rFonts w:eastAsiaTheme="minorEastAsia"/>
          <w:sz w:val="24"/>
          <w:szCs w:val="24"/>
        </w:rPr>
        <w:t xml:space="preserve"> The absence of the hedge would have meant the following: the expected change in annuities PV after 5 years is from </w:t>
      </w:r>
      <w:r w:rsidR="00433A2F" w:rsidRPr="003E07B3">
        <w:rPr>
          <w:rFonts w:ascii="Calibri" w:eastAsia="Times New Roman" w:hAnsi="Calibri" w:cs="Times New Roman"/>
          <w:color w:val="000000"/>
          <w:sz w:val="24"/>
          <w:szCs w:val="24"/>
        </w:rPr>
        <w:t>9.639131</w:t>
      </w:r>
      <w:r w:rsidR="00433A2F">
        <w:rPr>
          <w:rFonts w:ascii="Calibri" w:eastAsia="Times New Roman" w:hAnsi="Calibri" w:cs="Times New Roman"/>
          <w:color w:val="000000"/>
          <w:sz w:val="24"/>
          <w:szCs w:val="24"/>
        </w:rPr>
        <w:t xml:space="preserve"> to </w:t>
      </w:r>
      <w:r w:rsidR="00433A2F" w:rsidRPr="00433A2F">
        <w:rPr>
          <w:rFonts w:ascii="Calibri" w:eastAsia="Times New Roman" w:hAnsi="Calibri" w:cs="Times New Roman"/>
          <w:color w:val="000000"/>
          <w:sz w:val="24"/>
          <w:szCs w:val="24"/>
        </w:rPr>
        <w:t>8.178181</w:t>
      </w:r>
      <w:r w:rsidR="00433A2F">
        <w:rPr>
          <w:rFonts w:ascii="Calibri" w:eastAsia="Times New Roman" w:hAnsi="Calibri" w:cs="Times New Roman"/>
          <w:color w:val="000000"/>
          <w:sz w:val="24"/>
          <w:szCs w:val="24"/>
        </w:rPr>
        <w:t xml:space="preserve">, while with an additional unexpected 1% improvement it would reduce by a lot less to only </w:t>
      </w:r>
      <w:r w:rsidR="00433A2F" w:rsidRPr="00433A2F">
        <w:rPr>
          <w:rFonts w:ascii="Calibri" w:eastAsia="Times New Roman" w:hAnsi="Calibri" w:cs="Times New Roman"/>
          <w:color w:val="000000"/>
          <w:sz w:val="24"/>
          <w:szCs w:val="24"/>
        </w:rPr>
        <w:t>8.600211</w:t>
      </w:r>
      <w:r w:rsidR="00433A2F">
        <w:rPr>
          <w:rFonts w:ascii="Calibri" w:eastAsia="Times New Roman" w:hAnsi="Calibri" w:cs="Times New Roman"/>
          <w:color w:val="000000"/>
          <w:sz w:val="24"/>
          <w:szCs w:val="24"/>
        </w:rPr>
        <w:t>, which is 5.16% more than expected, which could be a significant amount on an annuity portfolio.  Table 5 shows the difference between what was expected (no improvement above priced for) vs. each potential improvement.</w:t>
      </w:r>
    </w:p>
    <w:p w:rsidR="00433A2F" w:rsidRPr="00433A2F" w:rsidRDefault="00433A2F" w:rsidP="00433A2F">
      <w:pPr>
        <w:pStyle w:val="Caption"/>
        <w:rPr>
          <w:noProof/>
          <w:sz w:val="22"/>
          <w:szCs w:val="22"/>
        </w:rPr>
      </w:pPr>
      <w:r w:rsidRPr="00433A2F">
        <w:rPr>
          <w:sz w:val="22"/>
          <w:szCs w:val="22"/>
        </w:rPr>
        <w:t xml:space="preserve">Table </w:t>
      </w:r>
      <w:r w:rsidRPr="00433A2F">
        <w:rPr>
          <w:sz w:val="22"/>
          <w:szCs w:val="22"/>
        </w:rPr>
        <w:fldChar w:fldCharType="begin"/>
      </w:r>
      <w:r w:rsidRPr="00433A2F">
        <w:rPr>
          <w:sz w:val="22"/>
          <w:szCs w:val="22"/>
        </w:rPr>
        <w:instrText xml:space="preserve"> SEQ Table \* ARABIC </w:instrText>
      </w:r>
      <w:r w:rsidRPr="00433A2F">
        <w:rPr>
          <w:sz w:val="22"/>
          <w:szCs w:val="22"/>
        </w:rPr>
        <w:fldChar w:fldCharType="separate"/>
      </w:r>
      <w:r w:rsidR="002B2B63">
        <w:rPr>
          <w:noProof/>
          <w:sz w:val="22"/>
          <w:szCs w:val="22"/>
        </w:rPr>
        <w:t>5</w:t>
      </w:r>
      <w:r w:rsidRPr="00433A2F">
        <w:rPr>
          <w:sz w:val="22"/>
          <w:szCs w:val="22"/>
        </w:rPr>
        <w:fldChar w:fldCharType="end"/>
      </w:r>
      <w:r w:rsidRPr="00433A2F">
        <w:rPr>
          <w:sz w:val="22"/>
          <w:szCs w:val="22"/>
        </w:rPr>
        <w:t xml:space="preserve"> - Annuity PV After </w:t>
      </w:r>
      <w:r w:rsidRPr="00433A2F">
        <w:rPr>
          <w:noProof/>
          <w:sz w:val="22"/>
          <w:szCs w:val="22"/>
        </w:rPr>
        <w:t>5 years (age 70)</w:t>
      </w:r>
    </w:p>
    <w:tbl>
      <w:tblPr>
        <w:tblW w:w="3969" w:type="dxa"/>
        <w:jc w:val="center"/>
        <w:tblInd w:w="93" w:type="dxa"/>
        <w:tblLook w:val="04A0" w:firstRow="1" w:lastRow="0" w:firstColumn="1" w:lastColumn="0" w:noHBand="0" w:noVBand="1"/>
      </w:tblPr>
      <w:tblGrid>
        <w:gridCol w:w="1440"/>
        <w:gridCol w:w="1250"/>
        <w:gridCol w:w="1279"/>
      </w:tblGrid>
      <w:tr w:rsidR="00433A2F" w:rsidRPr="00433A2F" w:rsidTr="00433A2F">
        <w:trPr>
          <w:trHeight w:val="300"/>
          <w:jc w:val="center"/>
        </w:trPr>
        <w:tc>
          <w:tcPr>
            <w:tcW w:w="1440" w:type="dxa"/>
            <w:tcBorders>
              <w:top w:val="nil"/>
              <w:left w:val="nil"/>
              <w:bottom w:val="nil"/>
              <w:right w:val="nil"/>
            </w:tcBorders>
            <w:shd w:val="clear" w:color="auto" w:fill="auto"/>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Change</w:t>
            </w:r>
          </w:p>
        </w:tc>
        <w:tc>
          <w:tcPr>
            <w:tcW w:w="1250" w:type="dxa"/>
            <w:tcBorders>
              <w:top w:val="nil"/>
              <w:left w:val="nil"/>
              <w:bottom w:val="nil"/>
              <w:right w:val="nil"/>
            </w:tcBorders>
            <w:shd w:val="clear" w:color="auto" w:fill="auto"/>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PV</w:t>
            </w:r>
          </w:p>
        </w:tc>
        <w:tc>
          <w:tcPr>
            <w:tcW w:w="1279" w:type="dxa"/>
            <w:tcBorders>
              <w:top w:val="nil"/>
              <w:left w:val="nil"/>
              <w:bottom w:val="nil"/>
              <w:right w:val="nil"/>
            </w:tcBorders>
            <w:shd w:val="clear" w:color="auto" w:fill="auto"/>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 Change</w:t>
            </w:r>
          </w:p>
        </w:tc>
      </w:tr>
      <w:tr w:rsidR="00433A2F" w:rsidRPr="00433A2F" w:rsidTr="00433A2F">
        <w:trPr>
          <w:trHeight w:val="300"/>
          <w:jc w:val="center"/>
        </w:trPr>
        <w:tc>
          <w:tcPr>
            <w:tcW w:w="1440" w:type="dxa"/>
            <w:tcBorders>
              <w:top w:val="nil"/>
              <w:left w:val="nil"/>
              <w:bottom w:val="nil"/>
              <w:right w:val="nil"/>
            </w:tcBorders>
            <w:shd w:val="clear" w:color="000000" w:fill="C4D79B"/>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Original</w:t>
            </w:r>
          </w:p>
        </w:tc>
        <w:tc>
          <w:tcPr>
            <w:tcW w:w="1250" w:type="dxa"/>
            <w:tcBorders>
              <w:top w:val="nil"/>
              <w:left w:val="nil"/>
              <w:bottom w:val="nil"/>
              <w:right w:val="nil"/>
            </w:tcBorders>
            <w:shd w:val="clear" w:color="000000" w:fill="C4D79B"/>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8.178181</w:t>
            </w:r>
          </w:p>
        </w:tc>
        <w:tc>
          <w:tcPr>
            <w:tcW w:w="1279" w:type="dxa"/>
            <w:tcBorders>
              <w:top w:val="nil"/>
              <w:left w:val="nil"/>
              <w:bottom w:val="nil"/>
              <w:right w:val="nil"/>
            </w:tcBorders>
            <w:shd w:val="clear" w:color="000000" w:fill="C4D79B"/>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0.00%</w:t>
            </w:r>
          </w:p>
        </w:tc>
      </w:tr>
      <w:tr w:rsidR="00433A2F" w:rsidRPr="00433A2F" w:rsidTr="00433A2F">
        <w:trPr>
          <w:trHeight w:val="300"/>
          <w:jc w:val="center"/>
        </w:trPr>
        <w:tc>
          <w:tcPr>
            <w:tcW w:w="1440" w:type="dxa"/>
            <w:tcBorders>
              <w:top w:val="nil"/>
              <w:left w:val="nil"/>
              <w:bottom w:val="nil"/>
              <w:right w:val="nil"/>
            </w:tcBorders>
            <w:shd w:val="clear" w:color="000000" w:fill="B1A0C7"/>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0.50%</w:t>
            </w:r>
          </w:p>
        </w:tc>
        <w:tc>
          <w:tcPr>
            <w:tcW w:w="1250" w:type="dxa"/>
            <w:tcBorders>
              <w:top w:val="nil"/>
              <w:left w:val="nil"/>
              <w:bottom w:val="nil"/>
              <w:right w:val="nil"/>
            </w:tcBorders>
            <w:shd w:val="clear" w:color="000000" w:fill="B1A0C7"/>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8.384289</w:t>
            </w:r>
          </w:p>
        </w:tc>
        <w:tc>
          <w:tcPr>
            <w:tcW w:w="1279" w:type="dxa"/>
            <w:tcBorders>
              <w:top w:val="nil"/>
              <w:left w:val="nil"/>
              <w:bottom w:val="nil"/>
              <w:right w:val="nil"/>
            </w:tcBorders>
            <w:shd w:val="clear" w:color="000000" w:fill="B1A0C7"/>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2.52%</w:t>
            </w:r>
          </w:p>
        </w:tc>
      </w:tr>
      <w:tr w:rsidR="00433A2F" w:rsidRPr="00433A2F" w:rsidTr="00433A2F">
        <w:trPr>
          <w:trHeight w:val="300"/>
          <w:jc w:val="center"/>
        </w:trPr>
        <w:tc>
          <w:tcPr>
            <w:tcW w:w="1440" w:type="dxa"/>
            <w:tcBorders>
              <w:top w:val="nil"/>
              <w:left w:val="nil"/>
              <w:bottom w:val="nil"/>
              <w:right w:val="nil"/>
            </w:tcBorders>
            <w:shd w:val="clear" w:color="000000" w:fill="92CDDC"/>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1.00%</w:t>
            </w:r>
          </w:p>
        </w:tc>
        <w:tc>
          <w:tcPr>
            <w:tcW w:w="1250" w:type="dxa"/>
            <w:tcBorders>
              <w:top w:val="nil"/>
              <w:left w:val="nil"/>
              <w:bottom w:val="nil"/>
              <w:right w:val="nil"/>
            </w:tcBorders>
            <w:shd w:val="clear" w:color="000000" w:fill="92CDDC"/>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8.600211</w:t>
            </w:r>
          </w:p>
        </w:tc>
        <w:tc>
          <w:tcPr>
            <w:tcW w:w="1279" w:type="dxa"/>
            <w:tcBorders>
              <w:top w:val="nil"/>
              <w:left w:val="nil"/>
              <w:bottom w:val="nil"/>
              <w:right w:val="nil"/>
            </w:tcBorders>
            <w:shd w:val="clear" w:color="000000" w:fill="92CDDC"/>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5.16%</w:t>
            </w:r>
          </w:p>
        </w:tc>
      </w:tr>
      <w:tr w:rsidR="00433A2F" w:rsidRPr="00433A2F" w:rsidTr="00433A2F">
        <w:trPr>
          <w:trHeight w:val="300"/>
          <w:jc w:val="center"/>
        </w:trPr>
        <w:tc>
          <w:tcPr>
            <w:tcW w:w="1440" w:type="dxa"/>
            <w:tcBorders>
              <w:top w:val="nil"/>
              <w:left w:val="nil"/>
              <w:bottom w:val="nil"/>
              <w:right w:val="nil"/>
            </w:tcBorders>
            <w:shd w:val="clear" w:color="000000" w:fill="FABF8F"/>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1.50%</w:t>
            </w:r>
          </w:p>
        </w:tc>
        <w:tc>
          <w:tcPr>
            <w:tcW w:w="1250" w:type="dxa"/>
            <w:tcBorders>
              <w:top w:val="nil"/>
              <w:left w:val="nil"/>
              <w:bottom w:val="nil"/>
              <w:right w:val="nil"/>
            </w:tcBorders>
            <w:shd w:val="clear" w:color="000000" w:fill="FABF8F"/>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8.826754</w:t>
            </w:r>
          </w:p>
        </w:tc>
        <w:tc>
          <w:tcPr>
            <w:tcW w:w="1279" w:type="dxa"/>
            <w:tcBorders>
              <w:top w:val="nil"/>
              <w:left w:val="nil"/>
              <w:bottom w:val="nil"/>
              <w:right w:val="nil"/>
            </w:tcBorders>
            <w:shd w:val="clear" w:color="000000" w:fill="FABF8F"/>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7.93%</w:t>
            </w:r>
          </w:p>
        </w:tc>
      </w:tr>
      <w:tr w:rsidR="00433A2F" w:rsidRPr="00433A2F" w:rsidTr="00433A2F">
        <w:trPr>
          <w:trHeight w:val="300"/>
          <w:jc w:val="center"/>
        </w:trPr>
        <w:tc>
          <w:tcPr>
            <w:tcW w:w="1440" w:type="dxa"/>
            <w:tcBorders>
              <w:top w:val="nil"/>
              <w:left w:val="nil"/>
              <w:bottom w:val="nil"/>
              <w:right w:val="nil"/>
            </w:tcBorders>
            <w:shd w:val="clear" w:color="000000" w:fill="DA9694"/>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2.00%</w:t>
            </w:r>
          </w:p>
        </w:tc>
        <w:tc>
          <w:tcPr>
            <w:tcW w:w="1250" w:type="dxa"/>
            <w:tcBorders>
              <w:top w:val="nil"/>
              <w:left w:val="nil"/>
              <w:bottom w:val="nil"/>
              <w:right w:val="nil"/>
            </w:tcBorders>
            <w:shd w:val="clear" w:color="000000" w:fill="DA9694"/>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9.064788</w:t>
            </w:r>
          </w:p>
        </w:tc>
        <w:tc>
          <w:tcPr>
            <w:tcW w:w="1279" w:type="dxa"/>
            <w:tcBorders>
              <w:top w:val="nil"/>
              <w:left w:val="nil"/>
              <w:bottom w:val="nil"/>
              <w:right w:val="nil"/>
            </w:tcBorders>
            <w:shd w:val="clear" w:color="000000" w:fill="DA9694"/>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10.84%</w:t>
            </w:r>
          </w:p>
        </w:tc>
      </w:tr>
      <w:tr w:rsidR="00433A2F" w:rsidRPr="00433A2F" w:rsidTr="00433A2F">
        <w:trPr>
          <w:trHeight w:val="300"/>
          <w:jc w:val="center"/>
        </w:trPr>
        <w:tc>
          <w:tcPr>
            <w:tcW w:w="1440" w:type="dxa"/>
            <w:tcBorders>
              <w:top w:val="nil"/>
              <w:left w:val="nil"/>
              <w:bottom w:val="nil"/>
              <w:right w:val="nil"/>
            </w:tcBorders>
            <w:shd w:val="clear" w:color="000000" w:fill="95B3D7"/>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2.50%</w:t>
            </w:r>
          </w:p>
        </w:tc>
        <w:tc>
          <w:tcPr>
            <w:tcW w:w="1250" w:type="dxa"/>
            <w:tcBorders>
              <w:top w:val="nil"/>
              <w:left w:val="nil"/>
              <w:bottom w:val="nil"/>
              <w:right w:val="nil"/>
            </w:tcBorders>
            <w:shd w:val="clear" w:color="000000" w:fill="95B3D7"/>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9.315151</w:t>
            </w:r>
          </w:p>
        </w:tc>
        <w:tc>
          <w:tcPr>
            <w:tcW w:w="1279" w:type="dxa"/>
            <w:tcBorders>
              <w:top w:val="nil"/>
              <w:left w:val="nil"/>
              <w:bottom w:val="nil"/>
              <w:right w:val="nil"/>
            </w:tcBorders>
            <w:shd w:val="clear" w:color="000000" w:fill="95B3D7"/>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13.90%</w:t>
            </w:r>
          </w:p>
        </w:tc>
      </w:tr>
      <w:tr w:rsidR="00433A2F" w:rsidRPr="00433A2F" w:rsidTr="00433A2F">
        <w:trPr>
          <w:trHeight w:val="300"/>
          <w:jc w:val="center"/>
        </w:trPr>
        <w:tc>
          <w:tcPr>
            <w:tcW w:w="1440" w:type="dxa"/>
            <w:tcBorders>
              <w:top w:val="nil"/>
              <w:left w:val="nil"/>
              <w:bottom w:val="nil"/>
              <w:right w:val="nil"/>
            </w:tcBorders>
            <w:shd w:val="clear" w:color="000000" w:fill="BFBFBF"/>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3.00%</w:t>
            </w:r>
          </w:p>
        </w:tc>
        <w:tc>
          <w:tcPr>
            <w:tcW w:w="1250" w:type="dxa"/>
            <w:tcBorders>
              <w:top w:val="nil"/>
              <w:left w:val="nil"/>
              <w:bottom w:val="nil"/>
              <w:right w:val="nil"/>
            </w:tcBorders>
            <w:shd w:val="clear" w:color="000000" w:fill="BFBFBF"/>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9.578427</w:t>
            </w:r>
          </w:p>
        </w:tc>
        <w:tc>
          <w:tcPr>
            <w:tcW w:w="1279" w:type="dxa"/>
            <w:tcBorders>
              <w:top w:val="nil"/>
              <w:left w:val="nil"/>
              <w:bottom w:val="nil"/>
              <w:right w:val="nil"/>
            </w:tcBorders>
            <w:shd w:val="clear" w:color="000000" w:fill="BFBFBF"/>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17.12%</w:t>
            </w:r>
          </w:p>
        </w:tc>
      </w:tr>
      <w:tr w:rsidR="00433A2F" w:rsidRPr="00433A2F" w:rsidTr="00433A2F">
        <w:trPr>
          <w:trHeight w:val="300"/>
          <w:jc w:val="center"/>
        </w:trPr>
        <w:tc>
          <w:tcPr>
            <w:tcW w:w="1440" w:type="dxa"/>
            <w:tcBorders>
              <w:top w:val="nil"/>
              <w:left w:val="nil"/>
              <w:bottom w:val="nil"/>
              <w:right w:val="nil"/>
            </w:tcBorders>
            <w:shd w:val="clear" w:color="000000" w:fill="FF99FF"/>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3.50%</w:t>
            </w:r>
          </w:p>
        </w:tc>
        <w:tc>
          <w:tcPr>
            <w:tcW w:w="1250" w:type="dxa"/>
            <w:tcBorders>
              <w:top w:val="nil"/>
              <w:left w:val="nil"/>
              <w:bottom w:val="nil"/>
              <w:right w:val="nil"/>
            </w:tcBorders>
            <w:shd w:val="clear" w:color="000000" w:fill="FF99FF"/>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9.854629</w:t>
            </w:r>
          </w:p>
        </w:tc>
        <w:tc>
          <w:tcPr>
            <w:tcW w:w="1279" w:type="dxa"/>
            <w:tcBorders>
              <w:top w:val="nil"/>
              <w:left w:val="nil"/>
              <w:bottom w:val="nil"/>
              <w:right w:val="nil"/>
            </w:tcBorders>
            <w:shd w:val="clear" w:color="000000" w:fill="FF99FF"/>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20.50%</w:t>
            </w:r>
          </w:p>
        </w:tc>
      </w:tr>
      <w:tr w:rsidR="00433A2F" w:rsidRPr="00433A2F" w:rsidTr="00433A2F">
        <w:trPr>
          <w:trHeight w:val="300"/>
          <w:jc w:val="center"/>
        </w:trPr>
        <w:tc>
          <w:tcPr>
            <w:tcW w:w="1440" w:type="dxa"/>
            <w:tcBorders>
              <w:top w:val="nil"/>
              <w:left w:val="nil"/>
              <w:bottom w:val="nil"/>
              <w:right w:val="nil"/>
            </w:tcBorders>
            <w:shd w:val="clear" w:color="000000" w:fill="99FF66"/>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4.00%</w:t>
            </w:r>
          </w:p>
        </w:tc>
        <w:tc>
          <w:tcPr>
            <w:tcW w:w="1250" w:type="dxa"/>
            <w:tcBorders>
              <w:top w:val="nil"/>
              <w:left w:val="nil"/>
              <w:bottom w:val="nil"/>
              <w:right w:val="nil"/>
            </w:tcBorders>
            <w:shd w:val="clear" w:color="000000" w:fill="99FF66"/>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10.142902</w:t>
            </w:r>
          </w:p>
        </w:tc>
        <w:tc>
          <w:tcPr>
            <w:tcW w:w="1279" w:type="dxa"/>
            <w:tcBorders>
              <w:top w:val="nil"/>
              <w:left w:val="nil"/>
              <w:bottom w:val="nil"/>
              <w:right w:val="nil"/>
            </w:tcBorders>
            <w:shd w:val="clear" w:color="000000" w:fill="99FF66"/>
            <w:noWrap/>
            <w:vAlign w:val="bottom"/>
            <w:hideMark/>
          </w:tcPr>
          <w:p w:rsidR="00433A2F" w:rsidRPr="00433A2F" w:rsidRDefault="00433A2F" w:rsidP="00433A2F">
            <w:pPr>
              <w:spacing w:after="0" w:line="360" w:lineRule="auto"/>
              <w:jc w:val="both"/>
              <w:rPr>
                <w:rFonts w:eastAsiaTheme="minorEastAsia"/>
                <w:sz w:val="24"/>
                <w:szCs w:val="24"/>
              </w:rPr>
            </w:pPr>
            <w:r w:rsidRPr="00433A2F">
              <w:rPr>
                <w:rFonts w:eastAsiaTheme="minorEastAsia"/>
                <w:sz w:val="24"/>
                <w:szCs w:val="24"/>
              </w:rPr>
              <w:t>24.02%</w:t>
            </w:r>
          </w:p>
        </w:tc>
      </w:tr>
    </w:tbl>
    <w:p w:rsidR="00433A2F" w:rsidRPr="00433A2F" w:rsidRDefault="00433A2F" w:rsidP="00433A2F">
      <w:pPr>
        <w:spacing w:line="360" w:lineRule="auto"/>
        <w:jc w:val="both"/>
        <w:rPr>
          <w:rFonts w:eastAsiaTheme="minorEastAsia"/>
          <w:sz w:val="24"/>
          <w:szCs w:val="24"/>
        </w:rPr>
      </w:pPr>
      <w:r w:rsidRPr="00433A2F">
        <w:rPr>
          <w:rFonts w:eastAsiaTheme="minorEastAsia"/>
          <w:sz w:val="24"/>
          <w:szCs w:val="24"/>
        </w:rPr>
        <w:t>I</w:t>
      </w:r>
      <w:r>
        <w:rPr>
          <w:rFonts w:eastAsiaTheme="minorEastAsia"/>
          <w:sz w:val="24"/>
          <w:szCs w:val="24"/>
        </w:rPr>
        <w:t xml:space="preserve">f the hedge was not in place and even a 0.5% improvement occurred above expected, the PV will be 2.52% higher than expected, compared to the </w:t>
      </w:r>
      <w:r w:rsidR="001E4729">
        <w:rPr>
          <w:rFonts w:eastAsiaTheme="minorEastAsia"/>
          <w:sz w:val="24"/>
          <w:szCs w:val="24"/>
        </w:rPr>
        <w:t>0.15% of a hedged position.</w:t>
      </w:r>
    </w:p>
    <w:p w:rsidR="00BF7DD1" w:rsidRDefault="00532974" w:rsidP="006F6849">
      <w:pPr>
        <w:spacing w:line="360" w:lineRule="auto"/>
        <w:jc w:val="both"/>
        <w:rPr>
          <w:rFonts w:eastAsiaTheme="minorEastAsia"/>
          <w:sz w:val="24"/>
          <w:szCs w:val="24"/>
        </w:rPr>
      </w:pPr>
      <w:r>
        <w:rPr>
          <w:rFonts w:eastAsiaTheme="minorEastAsia"/>
          <w:sz w:val="24"/>
          <w:szCs w:val="24"/>
        </w:rPr>
        <w:t>Whether or not the company will choose to rebalance the hedge after five years depends on the company’s policy regarding the amount of longevity risk that it is willing to face</w:t>
      </w:r>
      <w:r w:rsidR="00EA1432">
        <w:rPr>
          <w:rFonts w:eastAsiaTheme="minorEastAsia"/>
          <w:sz w:val="24"/>
          <w:szCs w:val="24"/>
        </w:rPr>
        <w:t xml:space="preserve"> as well as </w:t>
      </w:r>
      <w:r w:rsidR="00EA1432">
        <w:rPr>
          <w:rFonts w:eastAsiaTheme="minorEastAsia"/>
          <w:sz w:val="24"/>
          <w:szCs w:val="24"/>
        </w:rPr>
        <w:lastRenderedPageBreak/>
        <w:t>the actual amounts insured and the availability of extra products that can be used to rebalance the hedge.</w:t>
      </w:r>
    </w:p>
    <w:p w:rsidR="008C47B5" w:rsidRDefault="005E47B9" w:rsidP="001C1AA2">
      <w:pPr>
        <w:pStyle w:val="Heading1"/>
        <w:numPr>
          <w:ilvl w:val="0"/>
          <w:numId w:val="10"/>
        </w:numPr>
        <w:spacing w:before="0" w:after="240"/>
        <w:jc w:val="both"/>
        <w:rPr>
          <w:rFonts w:eastAsiaTheme="minorEastAsia"/>
          <w:sz w:val="24"/>
          <w:szCs w:val="24"/>
        </w:rPr>
      </w:pPr>
      <w:bookmarkStart w:id="15" w:name="_Toc374709718"/>
      <w:r>
        <w:rPr>
          <w:rFonts w:eastAsiaTheme="minorEastAsia"/>
          <w:sz w:val="24"/>
          <w:szCs w:val="24"/>
        </w:rPr>
        <w:t>The LHR Applied</w:t>
      </w:r>
      <w:bookmarkEnd w:id="15"/>
    </w:p>
    <w:p w:rsidR="005E47B9" w:rsidRDefault="001C1AA2" w:rsidP="005E47B9">
      <w:pPr>
        <w:pStyle w:val="Heading2"/>
        <w:spacing w:line="360" w:lineRule="auto"/>
        <w:jc w:val="both"/>
      </w:pPr>
      <w:bookmarkStart w:id="16" w:name="_Toc312148282"/>
      <w:bookmarkStart w:id="17" w:name="_Toc312252639"/>
      <w:bookmarkStart w:id="18" w:name="_Toc374709719"/>
      <w:r>
        <w:t xml:space="preserve">4.1 </w:t>
      </w:r>
      <w:r w:rsidR="005E47B9" w:rsidRPr="009444AF">
        <w:t xml:space="preserve">Hedging </w:t>
      </w:r>
      <w:r w:rsidR="005E47B9">
        <w:t>principles</w:t>
      </w:r>
      <w:bookmarkEnd w:id="16"/>
      <w:bookmarkEnd w:id="17"/>
      <w:bookmarkEnd w:id="18"/>
      <w:r w:rsidR="005E47B9">
        <w:t xml:space="preserve"> </w:t>
      </w:r>
    </w:p>
    <w:p w:rsidR="005E47B9" w:rsidRPr="004C69D6" w:rsidRDefault="005E47B9" w:rsidP="005E47B9">
      <w:pPr>
        <w:pStyle w:val="NoSpacing"/>
      </w:pPr>
    </w:p>
    <w:p w:rsidR="005E47B9" w:rsidRDefault="005E47B9" w:rsidP="005E47B9">
      <w:pPr>
        <w:spacing w:line="360" w:lineRule="auto"/>
        <w:jc w:val="both"/>
        <w:rPr>
          <w:rFonts w:asciiTheme="majorHAnsi" w:hAnsiTheme="majorHAnsi" w:cs="URWPalladioL-Roma"/>
          <w:sz w:val="24"/>
          <w:szCs w:val="24"/>
        </w:rPr>
      </w:pPr>
      <w:r w:rsidRPr="009444AF">
        <w:rPr>
          <w:rFonts w:asciiTheme="majorHAnsi" w:hAnsiTheme="majorHAnsi" w:cs="URWPalladioL-Roma"/>
          <w:sz w:val="24"/>
          <w:szCs w:val="24"/>
        </w:rPr>
        <w:t>The initi</w:t>
      </w:r>
      <w:r>
        <w:rPr>
          <w:rFonts w:asciiTheme="majorHAnsi" w:hAnsiTheme="majorHAnsi" w:cs="URWPalladioL-Roma"/>
          <w:sz w:val="24"/>
          <w:szCs w:val="24"/>
        </w:rPr>
        <w:t>al hedge as considered above allowed for changes in present values of annuities and assurances over their full future lifetimes, thus the total Present Value (PV).  It is clear from the graphs below that with improvements in longevity, the PVs move in opposite directions:</w:t>
      </w:r>
    </w:p>
    <w:p w:rsidR="005E47B9" w:rsidRPr="003D7880" w:rsidRDefault="003D7880" w:rsidP="003D7880">
      <w:pPr>
        <w:pStyle w:val="Caption"/>
        <w:rPr>
          <w:rFonts w:asciiTheme="majorHAnsi" w:hAnsiTheme="majorHAnsi" w:cs="URWPalladioL-Roma"/>
          <w:sz w:val="22"/>
          <w:szCs w:val="22"/>
        </w:rPr>
      </w:pPr>
      <w:r w:rsidRPr="003D7880">
        <w:rPr>
          <w:sz w:val="22"/>
          <w:szCs w:val="22"/>
        </w:rPr>
        <w:t xml:space="preserve">Figure </w:t>
      </w:r>
      <w:r w:rsidRPr="003D7880">
        <w:rPr>
          <w:sz w:val="22"/>
          <w:szCs w:val="22"/>
        </w:rPr>
        <w:fldChar w:fldCharType="begin"/>
      </w:r>
      <w:r w:rsidRPr="003D7880">
        <w:rPr>
          <w:sz w:val="22"/>
          <w:szCs w:val="22"/>
        </w:rPr>
        <w:instrText xml:space="preserve"> SEQ Figure \* ARABIC </w:instrText>
      </w:r>
      <w:r w:rsidRPr="003D7880">
        <w:rPr>
          <w:sz w:val="22"/>
          <w:szCs w:val="22"/>
        </w:rPr>
        <w:fldChar w:fldCharType="separate"/>
      </w:r>
      <w:r w:rsidR="00765D35">
        <w:rPr>
          <w:noProof/>
          <w:sz w:val="22"/>
          <w:szCs w:val="22"/>
        </w:rPr>
        <w:t>3</w:t>
      </w:r>
      <w:r w:rsidRPr="003D7880">
        <w:rPr>
          <w:sz w:val="22"/>
          <w:szCs w:val="22"/>
        </w:rPr>
        <w:fldChar w:fldCharType="end"/>
      </w:r>
      <w:r w:rsidRPr="003D7880">
        <w:rPr>
          <w:sz w:val="22"/>
          <w:szCs w:val="22"/>
        </w:rPr>
        <w:t xml:space="preserve"> - PV of a Whole Life assurance for different longevity improvements for a life aged 25</w:t>
      </w:r>
    </w:p>
    <w:p w:rsidR="005E47B9" w:rsidRDefault="005E47B9" w:rsidP="005E47B9">
      <w:pPr>
        <w:spacing w:line="360" w:lineRule="auto"/>
        <w:jc w:val="center"/>
        <w:rPr>
          <w:rFonts w:asciiTheme="majorHAnsi" w:hAnsiTheme="majorHAnsi" w:cs="URWPalladioL-Roma"/>
          <w:sz w:val="24"/>
          <w:szCs w:val="24"/>
        </w:rPr>
      </w:pPr>
      <w:r w:rsidRPr="00523C73">
        <w:rPr>
          <w:rFonts w:asciiTheme="majorHAnsi" w:hAnsiTheme="majorHAnsi" w:cs="URWPalladioL-Roma"/>
          <w:noProof/>
          <w:sz w:val="24"/>
          <w:szCs w:val="24"/>
          <w:lang w:val="en-ZA" w:eastAsia="en-ZA"/>
        </w:rPr>
        <w:drawing>
          <wp:inline distT="0" distB="0" distL="0" distR="0" wp14:anchorId="59201B85" wp14:editId="3FCCB2BB">
            <wp:extent cx="4792807" cy="2793076"/>
            <wp:effectExtent l="19050" t="0" r="26843" b="7274"/>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7880" w:rsidRDefault="003D7880">
      <w:pPr>
        <w:rPr>
          <w:rFonts w:asciiTheme="majorHAnsi" w:hAnsiTheme="majorHAnsi" w:cs="URWPalladioL-Roma"/>
          <w:sz w:val="24"/>
          <w:szCs w:val="24"/>
        </w:rPr>
      </w:pPr>
      <w:r>
        <w:rPr>
          <w:rFonts w:asciiTheme="majorHAnsi" w:hAnsiTheme="majorHAnsi" w:cs="URWPalladioL-Roma"/>
          <w:sz w:val="24"/>
          <w:szCs w:val="24"/>
        </w:rPr>
        <w:br w:type="page"/>
      </w:r>
    </w:p>
    <w:p w:rsidR="005E47B9" w:rsidRPr="003D7880" w:rsidRDefault="003D7880" w:rsidP="003D7880">
      <w:pPr>
        <w:pStyle w:val="Caption"/>
        <w:rPr>
          <w:rFonts w:asciiTheme="majorHAnsi" w:hAnsiTheme="majorHAnsi" w:cs="URWPalladioL-Roma"/>
          <w:sz w:val="22"/>
          <w:szCs w:val="22"/>
        </w:rPr>
      </w:pPr>
      <w:r w:rsidRPr="003D7880">
        <w:rPr>
          <w:sz w:val="22"/>
          <w:szCs w:val="22"/>
        </w:rPr>
        <w:lastRenderedPageBreak/>
        <w:t xml:space="preserve">Figure </w:t>
      </w:r>
      <w:r w:rsidRPr="003D7880">
        <w:rPr>
          <w:sz w:val="22"/>
          <w:szCs w:val="22"/>
        </w:rPr>
        <w:fldChar w:fldCharType="begin"/>
      </w:r>
      <w:r w:rsidRPr="003D7880">
        <w:rPr>
          <w:sz w:val="22"/>
          <w:szCs w:val="22"/>
        </w:rPr>
        <w:instrText xml:space="preserve"> SEQ Figure \* ARABIC </w:instrText>
      </w:r>
      <w:r w:rsidRPr="003D7880">
        <w:rPr>
          <w:sz w:val="22"/>
          <w:szCs w:val="22"/>
        </w:rPr>
        <w:fldChar w:fldCharType="separate"/>
      </w:r>
      <w:r w:rsidR="00765D35">
        <w:rPr>
          <w:noProof/>
          <w:sz w:val="22"/>
          <w:szCs w:val="22"/>
        </w:rPr>
        <w:t>4</w:t>
      </w:r>
      <w:r w:rsidRPr="003D7880">
        <w:rPr>
          <w:sz w:val="22"/>
          <w:szCs w:val="22"/>
        </w:rPr>
        <w:fldChar w:fldCharType="end"/>
      </w:r>
      <w:r w:rsidRPr="003D7880">
        <w:rPr>
          <w:sz w:val="22"/>
          <w:szCs w:val="22"/>
        </w:rPr>
        <w:t xml:space="preserve"> - PV for an annuity to a life aged 65 for different improvements in longevity</w:t>
      </w:r>
    </w:p>
    <w:p w:rsidR="005E47B9" w:rsidRDefault="005E47B9" w:rsidP="005E47B9">
      <w:pPr>
        <w:spacing w:line="360" w:lineRule="auto"/>
        <w:jc w:val="center"/>
        <w:rPr>
          <w:rFonts w:asciiTheme="majorHAnsi" w:hAnsiTheme="majorHAnsi" w:cs="URWPalladioL-Roma"/>
          <w:sz w:val="24"/>
          <w:szCs w:val="24"/>
        </w:rPr>
      </w:pPr>
      <w:r w:rsidRPr="00C90473">
        <w:rPr>
          <w:rFonts w:asciiTheme="majorHAnsi" w:hAnsiTheme="majorHAnsi" w:cs="URWPalladioL-Roma"/>
          <w:noProof/>
          <w:sz w:val="24"/>
          <w:szCs w:val="24"/>
          <w:lang w:val="en-ZA" w:eastAsia="en-ZA"/>
        </w:rPr>
        <w:drawing>
          <wp:inline distT="0" distB="0" distL="0" distR="0" wp14:anchorId="2AF17B9D" wp14:editId="0D1FFB0C">
            <wp:extent cx="4785707" cy="2743200"/>
            <wp:effectExtent l="19050" t="0" r="14893"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E47B9" w:rsidRDefault="005E47B9" w:rsidP="005E47B9">
      <w:pPr>
        <w:spacing w:line="360" w:lineRule="auto"/>
        <w:jc w:val="both"/>
        <w:rPr>
          <w:rFonts w:asciiTheme="majorHAnsi" w:hAnsiTheme="majorHAnsi" w:cs="URWPalladioL-Roma"/>
          <w:sz w:val="24"/>
          <w:szCs w:val="24"/>
        </w:rPr>
      </w:pPr>
    </w:p>
    <w:p w:rsidR="005E47B9" w:rsidRDefault="005E47B9" w:rsidP="005E47B9">
      <w:pPr>
        <w:spacing w:line="360" w:lineRule="auto"/>
        <w:jc w:val="both"/>
        <w:rPr>
          <w:rFonts w:asciiTheme="majorHAnsi" w:hAnsiTheme="majorHAnsi" w:cs="URWPalladioL-Roma"/>
          <w:sz w:val="24"/>
          <w:szCs w:val="24"/>
        </w:rPr>
      </w:pPr>
      <w:r>
        <w:rPr>
          <w:rFonts w:asciiTheme="majorHAnsi" w:hAnsiTheme="majorHAnsi" w:cs="URWPalladioL-Roma"/>
          <w:sz w:val="24"/>
          <w:szCs w:val="24"/>
        </w:rPr>
        <w:t>However, a difficulty arises in that annuities have an average age much older than assurances, since they are normally paid in the form of a pension from the age of 60 or 65 with future expected payment period of approximately 20</w:t>
      </w:r>
      <w:r w:rsidR="003143A9">
        <w:rPr>
          <w:rFonts w:asciiTheme="majorHAnsi" w:hAnsiTheme="majorHAnsi" w:cs="URWPalladioL-Roma"/>
          <w:sz w:val="24"/>
          <w:szCs w:val="24"/>
        </w:rPr>
        <w:t>+</w:t>
      </w:r>
      <w:r>
        <w:rPr>
          <w:rFonts w:asciiTheme="majorHAnsi" w:hAnsiTheme="majorHAnsi" w:cs="URWPalladioL-Roma"/>
          <w:sz w:val="24"/>
          <w:szCs w:val="24"/>
        </w:rPr>
        <w:t xml:space="preserve"> years, for example.  Assurances in the form of life cover or term assurance are normally taken out much earlier in life, to cover bonds for example, and thus may have a future lifetime of 60+ years.  The total hedge works if both portfolios are kept until the last policyholder dies, but this may simply not be practical.  </w:t>
      </w:r>
      <w:r w:rsidR="00BB09C6">
        <w:rPr>
          <w:rFonts w:asciiTheme="majorHAnsi" w:hAnsiTheme="majorHAnsi" w:cs="URWPalladioL-Roma"/>
          <w:sz w:val="24"/>
          <w:szCs w:val="24"/>
        </w:rPr>
        <w:t>Annuities may typically be kept constant with no rebalancing, but life cover products can lapse and re-enter, or with the age aggressive pricing, lose all hedging ability past a one-year period, since</w:t>
      </w:r>
      <w:r w:rsidR="005C0730">
        <w:rPr>
          <w:rFonts w:asciiTheme="majorHAnsi" w:hAnsiTheme="majorHAnsi" w:cs="URWPalladioL-Roma"/>
          <w:sz w:val="24"/>
          <w:szCs w:val="24"/>
        </w:rPr>
        <w:t xml:space="preserve"> pricing is updated annually.  </w:t>
      </w:r>
      <w:r>
        <w:rPr>
          <w:rFonts w:asciiTheme="majorHAnsi" w:hAnsiTheme="majorHAnsi" w:cs="URWPalladioL-Roma"/>
          <w:sz w:val="24"/>
          <w:szCs w:val="24"/>
        </w:rPr>
        <w:t>When the changes in Present values are considered to calculate the LHR, nothing stops us from doing a one year hedge only, by calculating the PVs over the next year only.</w:t>
      </w:r>
    </w:p>
    <w:p w:rsidR="005E47B9" w:rsidRDefault="005E47B9" w:rsidP="005E47B9">
      <w:pPr>
        <w:spacing w:line="360" w:lineRule="auto"/>
        <w:jc w:val="both"/>
        <w:rPr>
          <w:rFonts w:asciiTheme="majorHAnsi" w:hAnsiTheme="majorHAnsi" w:cs="URWPalladioL-Roma"/>
          <w:sz w:val="24"/>
          <w:szCs w:val="24"/>
        </w:rPr>
      </w:pPr>
      <w:r>
        <w:rPr>
          <w:rFonts w:asciiTheme="majorHAnsi" w:hAnsiTheme="majorHAnsi" w:cs="URWPalladioL-Roma"/>
          <w:sz w:val="24"/>
          <w:szCs w:val="24"/>
        </w:rPr>
        <w:t>Some theoretical effects of longevity improvements are illustrated below.</w:t>
      </w:r>
    </w:p>
    <w:p w:rsidR="005E47B9" w:rsidRDefault="001C1AA2" w:rsidP="005E47B9">
      <w:pPr>
        <w:pStyle w:val="Heading2"/>
        <w:spacing w:line="360" w:lineRule="auto"/>
        <w:jc w:val="both"/>
      </w:pPr>
      <w:bookmarkStart w:id="19" w:name="_Toc312148283"/>
      <w:bookmarkStart w:id="20" w:name="_Toc312252640"/>
      <w:bookmarkStart w:id="21" w:name="_Toc374709720"/>
      <w:r>
        <w:t xml:space="preserve">4.2 </w:t>
      </w:r>
      <w:r w:rsidR="006D3E21">
        <w:t>E</w:t>
      </w:r>
      <w:r w:rsidR="005E47B9">
        <w:t>ffects</w:t>
      </w:r>
      <w:bookmarkEnd w:id="19"/>
      <w:bookmarkEnd w:id="20"/>
      <w:r w:rsidR="006D3E21">
        <w:t xml:space="preserve"> of increased longevity</w:t>
      </w:r>
      <w:bookmarkEnd w:id="21"/>
    </w:p>
    <w:p w:rsidR="005E47B9" w:rsidRPr="004C69D6" w:rsidRDefault="005E47B9" w:rsidP="005E47B9">
      <w:pPr>
        <w:pStyle w:val="NoSpacing"/>
      </w:pPr>
    </w:p>
    <w:p w:rsidR="005E47B9" w:rsidRDefault="005E47B9" w:rsidP="005E47B9">
      <w:pPr>
        <w:spacing w:line="360" w:lineRule="auto"/>
        <w:jc w:val="both"/>
        <w:rPr>
          <w:rFonts w:asciiTheme="majorHAnsi" w:hAnsiTheme="majorHAnsi" w:cs="URWPalladioL-Roma"/>
          <w:sz w:val="24"/>
          <w:szCs w:val="24"/>
        </w:rPr>
      </w:pPr>
      <w:r>
        <w:rPr>
          <w:rFonts w:asciiTheme="majorHAnsi" w:hAnsiTheme="majorHAnsi" w:cs="URWPalladioL-Roma"/>
          <w:sz w:val="24"/>
          <w:szCs w:val="24"/>
        </w:rPr>
        <w:t>Longevity will create losses on annuities since more payments are made to annuitants over time as they live longer.</w:t>
      </w:r>
    </w:p>
    <w:p w:rsidR="005E47B9" w:rsidRPr="003D7880" w:rsidRDefault="003D7880" w:rsidP="003D7880">
      <w:pPr>
        <w:pStyle w:val="Caption"/>
        <w:rPr>
          <w:sz w:val="22"/>
          <w:szCs w:val="22"/>
        </w:rPr>
      </w:pPr>
      <w:r w:rsidRPr="003D7880">
        <w:rPr>
          <w:sz w:val="22"/>
          <w:szCs w:val="22"/>
        </w:rPr>
        <w:lastRenderedPageBreak/>
        <w:t xml:space="preserve">Figure </w:t>
      </w:r>
      <w:r w:rsidRPr="003D7880">
        <w:rPr>
          <w:sz w:val="22"/>
          <w:szCs w:val="22"/>
        </w:rPr>
        <w:fldChar w:fldCharType="begin"/>
      </w:r>
      <w:r w:rsidRPr="003D7880">
        <w:rPr>
          <w:sz w:val="22"/>
          <w:szCs w:val="22"/>
        </w:rPr>
        <w:instrText xml:space="preserve"> SEQ Figure \* ARABIC </w:instrText>
      </w:r>
      <w:r w:rsidRPr="003D7880">
        <w:rPr>
          <w:sz w:val="22"/>
          <w:szCs w:val="22"/>
        </w:rPr>
        <w:fldChar w:fldCharType="separate"/>
      </w:r>
      <w:r w:rsidR="00765D35">
        <w:rPr>
          <w:noProof/>
          <w:sz w:val="22"/>
          <w:szCs w:val="22"/>
        </w:rPr>
        <w:t>5</w:t>
      </w:r>
      <w:r w:rsidRPr="003D7880">
        <w:rPr>
          <w:sz w:val="22"/>
          <w:szCs w:val="22"/>
        </w:rPr>
        <w:fldChar w:fldCharType="end"/>
      </w:r>
      <w:r w:rsidRPr="003D7880">
        <w:rPr>
          <w:sz w:val="22"/>
          <w:szCs w:val="22"/>
        </w:rPr>
        <w:t xml:space="preserve"> - Cash-flows for an annuity aged 65 with and without improvements</w:t>
      </w:r>
    </w:p>
    <w:p w:rsidR="005E47B9" w:rsidRDefault="005E47B9" w:rsidP="005E47B9">
      <w:pPr>
        <w:spacing w:line="360" w:lineRule="auto"/>
        <w:jc w:val="center"/>
        <w:rPr>
          <w:rFonts w:asciiTheme="majorHAnsi" w:hAnsiTheme="majorHAnsi" w:cs="URWPalladioL-Roma"/>
          <w:sz w:val="24"/>
          <w:szCs w:val="24"/>
        </w:rPr>
      </w:pPr>
      <w:r w:rsidRPr="0025157A">
        <w:rPr>
          <w:rFonts w:asciiTheme="majorHAnsi" w:hAnsiTheme="majorHAnsi" w:cs="URWPalladioL-Roma"/>
          <w:noProof/>
          <w:sz w:val="24"/>
          <w:szCs w:val="24"/>
          <w:lang w:val="en-ZA" w:eastAsia="en-ZA"/>
        </w:rPr>
        <w:drawing>
          <wp:inline distT="0" distB="0" distL="0" distR="0" wp14:anchorId="1EEEBA00" wp14:editId="47626625">
            <wp:extent cx="4572000" cy="2743200"/>
            <wp:effectExtent l="19050" t="0" r="19050" b="0"/>
            <wp:docPr id="3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E47B9" w:rsidRDefault="005E47B9" w:rsidP="005E47B9">
      <w:pPr>
        <w:spacing w:line="360" w:lineRule="auto"/>
        <w:jc w:val="center"/>
        <w:rPr>
          <w:rFonts w:asciiTheme="majorHAnsi" w:hAnsiTheme="majorHAnsi" w:cs="URWPalladioL-Roma"/>
          <w:sz w:val="24"/>
          <w:szCs w:val="24"/>
        </w:rPr>
      </w:pPr>
    </w:p>
    <w:p w:rsidR="005E47B9" w:rsidRDefault="005E47B9" w:rsidP="005E47B9">
      <w:pPr>
        <w:spacing w:line="360" w:lineRule="auto"/>
        <w:jc w:val="both"/>
        <w:rPr>
          <w:rFonts w:asciiTheme="majorHAnsi" w:hAnsiTheme="majorHAnsi" w:cs="URWPalladioL-Roma"/>
          <w:sz w:val="24"/>
          <w:szCs w:val="24"/>
        </w:rPr>
      </w:pPr>
      <w:r>
        <w:rPr>
          <w:rFonts w:asciiTheme="majorHAnsi" w:hAnsiTheme="majorHAnsi" w:cs="URWPalladioL-Roma"/>
          <w:sz w:val="24"/>
          <w:szCs w:val="24"/>
        </w:rPr>
        <w:t>The red line lies to the right for the full term, showing losses which accumulate for the full term of the portfolio.  The effect on assurances is similar:</w:t>
      </w:r>
    </w:p>
    <w:p w:rsidR="005E47B9" w:rsidRPr="003D7880" w:rsidRDefault="003D7880" w:rsidP="003D7880">
      <w:pPr>
        <w:pStyle w:val="Caption"/>
        <w:rPr>
          <w:rFonts w:asciiTheme="majorHAnsi" w:hAnsiTheme="majorHAnsi" w:cs="URWPalladioL-Roma"/>
          <w:sz w:val="22"/>
          <w:szCs w:val="22"/>
        </w:rPr>
      </w:pPr>
      <w:r w:rsidRPr="003D7880">
        <w:rPr>
          <w:sz w:val="22"/>
          <w:szCs w:val="22"/>
        </w:rPr>
        <w:t xml:space="preserve">Figure </w:t>
      </w:r>
      <w:r w:rsidRPr="003D7880">
        <w:rPr>
          <w:sz w:val="22"/>
          <w:szCs w:val="22"/>
        </w:rPr>
        <w:fldChar w:fldCharType="begin"/>
      </w:r>
      <w:r w:rsidRPr="003D7880">
        <w:rPr>
          <w:sz w:val="22"/>
          <w:szCs w:val="22"/>
        </w:rPr>
        <w:instrText xml:space="preserve"> SEQ Figure \* ARABIC </w:instrText>
      </w:r>
      <w:r w:rsidRPr="003D7880">
        <w:rPr>
          <w:sz w:val="22"/>
          <w:szCs w:val="22"/>
        </w:rPr>
        <w:fldChar w:fldCharType="separate"/>
      </w:r>
      <w:r w:rsidR="00765D35">
        <w:rPr>
          <w:noProof/>
          <w:sz w:val="22"/>
          <w:szCs w:val="22"/>
        </w:rPr>
        <w:t>6</w:t>
      </w:r>
      <w:r w:rsidRPr="003D7880">
        <w:rPr>
          <w:sz w:val="22"/>
          <w:szCs w:val="22"/>
        </w:rPr>
        <w:fldChar w:fldCharType="end"/>
      </w:r>
      <w:r w:rsidRPr="003D7880">
        <w:rPr>
          <w:sz w:val="22"/>
          <w:szCs w:val="22"/>
        </w:rPr>
        <w:t xml:space="preserve"> - Cash-flows for an assurance for a life aged 25 with and without improvements</w:t>
      </w:r>
    </w:p>
    <w:p w:rsidR="005E47B9" w:rsidRDefault="005E47B9" w:rsidP="005E47B9">
      <w:pPr>
        <w:spacing w:line="360" w:lineRule="auto"/>
        <w:jc w:val="center"/>
        <w:rPr>
          <w:rFonts w:asciiTheme="majorHAnsi" w:hAnsiTheme="majorHAnsi" w:cs="URWPalladioL-Roma"/>
          <w:sz w:val="24"/>
          <w:szCs w:val="24"/>
        </w:rPr>
      </w:pPr>
      <w:r w:rsidRPr="00473C9E">
        <w:rPr>
          <w:rFonts w:asciiTheme="majorHAnsi" w:hAnsiTheme="majorHAnsi" w:cs="URWPalladioL-Roma"/>
          <w:noProof/>
          <w:sz w:val="24"/>
          <w:szCs w:val="24"/>
          <w:lang w:val="en-ZA" w:eastAsia="en-ZA"/>
        </w:rPr>
        <w:drawing>
          <wp:inline distT="0" distB="0" distL="0" distR="0" wp14:anchorId="24F5729C" wp14:editId="773A83FD">
            <wp:extent cx="4575463" cy="2660073"/>
            <wp:effectExtent l="19050" t="0" r="15587" b="6927"/>
            <wp:docPr id="3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E47B9" w:rsidRDefault="005E47B9" w:rsidP="005E47B9">
      <w:pPr>
        <w:spacing w:line="360" w:lineRule="auto"/>
        <w:jc w:val="center"/>
        <w:rPr>
          <w:rFonts w:asciiTheme="majorHAnsi" w:hAnsiTheme="majorHAnsi" w:cs="URWPalladioL-Roma"/>
          <w:sz w:val="24"/>
          <w:szCs w:val="24"/>
        </w:rPr>
      </w:pPr>
    </w:p>
    <w:p w:rsidR="005E47B9" w:rsidRDefault="005E47B9" w:rsidP="005E47B9">
      <w:pPr>
        <w:spacing w:line="360" w:lineRule="auto"/>
        <w:jc w:val="both"/>
        <w:rPr>
          <w:rFonts w:asciiTheme="majorHAnsi" w:hAnsiTheme="majorHAnsi" w:cs="URWPalladioL-Roma"/>
          <w:sz w:val="24"/>
          <w:szCs w:val="24"/>
        </w:rPr>
      </w:pPr>
      <w:r>
        <w:rPr>
          <w:rFonts w:asciiTheme="majorHAnsi" w:hAnsiTheme="majorHAnsi" w:cs="URWPalladioL-Roma"/>
          <w:sz w:val="24"/>
          <w:szCs w:val="24"/>
        </w:rPr>
        <w:lastRenderedPageBreak/>
        <w:t>Deaths are delayed and paid out later in the term, causing more premium income.  The combined effect can be seen below:</w:t>
      </w:r>
    </w:p>
    <w:p w:rsidR="005E47B9" w:rsidRPr="003D7880" w:rsidRDefault="003D7880" w:rsidP="003D7880">
      <w:pPr>
        <w:pStyle w:val="Caption"/>
        <w:rPr>
          <w:rFonts w:asciiTheme="majorHAnsi" w:hAnsiTheme="majorHAnsi" w:cs="URWPalladioL-Roma"/>
          <w:sz w:val="22"/>
          <w:szCs w:val="22"/>
        </w:rPr>
      </w:pPr>
      <w:r w:rsidRPr="003D7880">
        <w:rPr>
          <w:sz w:val="22"/>
          <w:szCs w:val="22"/>
        </w:rPr>
        <w:t xml:space="preserve">Figure </w:t>
      </w:r>
      <w:r w:rsidRPr="003D7880">
        <w:rPr>
          <w:sz w:val="22"/>
          <w:szCs w:val="22"/>
        </w:rPr>
        <w:fldChar w:fldCharType="begin"/>
      </w:r>
      <w:r w:rsidRPr="003D7880">
        <w:rPr>
          <w:sz w:val="22"/>
          <w:szCs w:val="22"/>
        </w:rPr>
        <w:instrText xml:space="preserve"> SEQ Figure \* ARABIC </w:instrText>
      </w:r>
      <w:r w:rsidRPr="003D7880">
        <w:rPr>
          <w:sz w:val="22"/>
          <w:szCs w:val="22"/>
        </w:rPr>
        <w:fldChar w:fldCharType="separate"/>
      </w:r>
      <w:r w:rsidR="00765D35">
        <w:rPr>
          <w:noProof/>
          <w:sz w:val="22"/>
          <w:szCs w:val="22"/>
        </w:rPr>
        <w:t>7</w:t>
      </w:r>
      <w:r w:rsidRPr="003D7880">
        <w:rPr>
          <w:sz w:val="22"/>
          <w:szCs w:val="22"/>
        </w:rPr>
        <w:fldChar w:fldCharType="end"/>
      </w:r>
      <w:r w:rsidRPr="003D7880">
        <w:rPr>
          <w:sz w:val="22"/>
          <w:szCs w:val="22"/>
        </w:rPr>
        <w:t xml:space="preserve"> - Differences in the cash-flows for an annuity and assurance</w:t>
      </w:r>
    </w:p>
    <w:p w:rsidR="005E47B9" w:rsidRDefault="005E47B9" w:rsidP="005E47B9">
      <w:pPr>
        <w:spacing w:line="360" w:lineRule="auto"/>
        <w:jc w:val="center"/>
        <w:rPr>
          <w:rFonts w:asciiTheme="majorHAnsi" w:hAnsiTheme="majorHAnsi" w:cs="URWPalladioL-Roma"/>
          <w:sz w:val="24"/>
          <w:szCs w:val="24"/>
        </w:rPr>
      </w:pPr>
      <w:r w:rsidRPr="0025157A">
        <w:rPr>
          <w:rFonts w:asciiTheme="majorHAnsi" w:hAnsiTheme="majorHAnsi" w:cs="URWPalladioL-Roma"/>
          <w:noProof/>
          <w:sz w:val="24"/>
          <w:szCs w:val="24"/>
          <w:lang w:val="en-ZA" w:eastAsia="en-ZA"/>
        </w:rPr>
        <w:drawing>
          <wp:inline distT="0" distB="0" distL="0" distR="0" wp14:anchorId="1AE67F64" wp14:editId="17B1EA2F">
            <wp:extent cx="4572000" cy="2743200"/>
            <wp:effectExtent l="19050" t="0" r="19050" b="0"/>
            <wp:docPr id="3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E47B9" w:rsidRDefault="005E47B9" w:rsidP="005E47B9">
      <w:pPr>
        <w:spacing w:line="360" w:lineRule="auto"/>
        <w:jc w:val="center"/>
        <w:rPr>
          <w:rFonts w:asciiTheme="majorHAnsi" w:hAnsiTheme="majorHAnsi" w:cs="URWPalladioL-Roma"/>
          <w:sz w:val="24"/>
          <w:szCs w:val="24"/>
        </w:rPr>
      </w:pPr>
    </w:p>
    <w:p w:rsidR="005E47B9" w:rsidRDefault="005E47B9" w:rsidP="005E47B9">
      <w:pPr>
        <w:spacing w:line="360" w:lineRule="auto"/>
        <w:jc w:val="both"/>
        <w:rPr>
          <w:rFonts w:asciiTheme="majorHAnsi" w:hAnsiTheme="majorHAnsi" w:cs="URWPalladioL-Roma"/>
          <w:sz w:val="24"/>
          <w:szCs w:val="24"/>
        </w:rPr>
      </w:pPr>
      <w:r>
        <w:rPr>
          <w:rFonts w:asciiTheme="majorHAnsi" w:hAnsiTheme="majorHAnsi" w:cs="URWPalladioL-Roma"/>
          <w:sz w:val="24"/>
          <w:szCs w:val="24"/>
        </w:rPr>
        <w:t>The differences in the cash-flows of the annuities and the assurances are initially negative, then turn positive, then later turn negative again. After approximately 50 years, the red and green lines fall on the same line. Due to the LHR the sum of the red line is zero.  However, for this to be zero we need to keep the hedge for 95 years.  Again, this is not practical, creates interest rate and other risks. A shorter hedge is required.</w:t>
      </w:r>
    </w:p>
    <w:p w:rsidR="005E47B9" w:rsidRDefault="005E47B9" w:rsidP="005E47B9">
      <w:pPr>
        <w:spacing w:line="360" w:lineRule="auto"/>
        <w:jc w:val="both"/>
        <w:rPr>
          <w:rFonts w:asciiTheme="majorHAnsi" w:hAnsiTheme="majorHAnsi" w:cs="URWPalladioL-Roma"/>
          <w:sz w:val="24"/>
          <w:szCs w:val="24"/>
        </w:rPr>
      </w:pPr>
      <w:r>
        <w:rPr>
          <w:rFonts w:asciiTheme="majorHAnsi" w:hAnsiTheme="majorHAnsi" w:cs="URWPalladioL-Roma"/>
          <w:sz w:val="24"/>
          <w:szCs w:val="24"/>
        </w:rPr>
        <w:t xml:space="preserve">If we consider only the first few years and try to smooth our cash-flows and hedge against a possible longevity improvement, we need to pull the red line upwards by means of more assurances, thus increasing the LHR. The theoretical approach to calculate the LHR would simply be to make use of the changes in PV over a shorter period of time.  </w:t>
      </w:r>
    </w:p>
    <w:p w:rsidR="005E47B9" w:rsidRDefault="001C1AA2" w:rsidP="004618AB">
      <w:pPr>
        <w:pStyle w:val="Heading2"/>
        <w:spacing w:line="360" w:lineRule="auto"/>
        <w:jc w:val="both"/>
      </w:pPr>
      <w:bookmarkStart w:id="22" w:name="_Toc312148284"/>
      <w:bookmarkStart w:id="23" w:name="_Toc312252641"/>
      <w:bookmarkStart w:id="24" w:name="_Toc374709721"/>
      <w:r>
        <w:t xml:space="preserve">4.3 </w:t>
      </w:r>
      <w:r w:rsidR="005E47B9" w:rsidRPr="009444AF">
        <w:t xml:space="preserve">Hedging for different time </w:t>
      </w:r>
      <w:bookmarkEnd w:id="22"/>
      <w:bookmarkEnd w:id="23"/>
      <w:r w:rsidR="003D7880">
        <w:t>horizons</w:t>
      </w:r>
      <w:bookmarkEnd w:id="24"/>
    </w:p>
    <w:p w:rsidR="005E47B9" w:rsidRPr="004C69D6" w:rsidRDefault="005E47B9" w:rsidP="005E47B9">
      <w:pPr>
        <w:pStyle w:val="NoSpacing"/>
        <w:spacing w:line="360" w:lineRule="auto"/>
        <w:jc w:val="both"/>
      </w:pPr>
    </w:p>
    <w:p w:rsidR="005E47B9"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In an attempt to show the</w:t>
      </w:r>
      <w:r>
        <w:rPr>
          <w:rFonts w:asciiTheme="majorHAnsi" w:hAnsiTheme="majorHAnsi" w:cs="URWPalladioL-Roma"/>
          <w:sz w:val="24"/>
          <w:szCs w:val="24"/>
        </w:rPr>
        <w:t xml:space="preserve"> practical implications of the L</w:t>
      </w:r>
      <w:r w:rsidRPr="00AF643E">
        <w:rPr>
          <w:rFonts w:asciiTheme="majorHAnsi" w:hAnsiTheme="majorHAnsi" w:cs="URWPalladioL-Roma"/>
          <w:sz w:val="24"/>
          <w:szCs w:val="24"/>
        </w:rPr>
        <w:t xml:space="preserve">HR, we assumed a portfolio of 100000 annuities of R60000 per annum issued to males aged 65 and 100000 life </w:t>
      </w:r>
      <w:r w:rsidRPr="00AF643E">
        <w:rPr>
          <w:rFonts w:asciiTheme="majorHAnsi" w:hAnsiTheme="majorHAnsi" w:cs="URWPalladioL-Roma"/>
          <w:sz w:val="24"/>
          <w:szCs w:val="24"/>
        </w:rPr>
        <w:lastRenderedPageBreak/>
        <w:t>assurances issued to males aged 25. We made use of PMA80 mortality for the annuitants and AM80 for the policyholders with life assurance. The sum assured on the life pro</w:t>
      </w:r>
      <w:r>
        <w:rPr>
          <w:rFonts w:asciiTheme="majorHAnsi" w:hAnsiTheme="majorHAnsi" w:cs="URWPalladioL-Roma"/>
          <w:sz w:val="24"/>
          <w:szCs w:val="24"/>
        </w:rPr>
        <w:t>ducts was calculated using the L</w:t>
      </w:r>
      <w:r w:rsidRPr="00AF643E">
        <w:rPr>
          <w:rFonts w:asciiTheme="majorHAnsi" w:hAnsiTheme="majorHAnsi" w:cs="URWPalladioL-Roma"/>
          <w:sz w:val="24"/>
          <w:szCs w:val="24"/>
        </w:rPr>
        <w:t xml:space="preserve">HR. Interest was ignored in the calculations of the present values. These assumptions were used in all of the following illustrations. </w:t>
      </w:r>
    </w:p>
    <w:p w:rsidR="005E47B9" w:rsidRPr="00AF643E"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If as</w:t>
      </w:r>
      <w:r>
        <w:rPr>
          <w:rFonts w:asciiTheme="majorHAnsi" w:hAnsiTheme="majorHAnsi" w:cs="URWPalladioL-Roma"/>
          <w:sz w:val="24"/>
          <w:szCs w:val="24"/>
        </w:rPr>
        <w:t>surance rates are changed, the L</w:t>
      </w:r>
      <w:r w:rsidRPr="00AF643E">
        <w:rPr>
          <w:rFonts w:asciiTheme="majorHAnsi" w:hAnsiTheme="majorHAnsi" w:cs="URWPalladioL-Roma"/>
          <w:sz w:val="24"/>
          <w:szCs w:val="24"/>
        </w:rPr>
        <w:t>HR would change and the hedge would thus need to be reset. Key assumptions made in the following illustrations are that assurance rates cannot change and policyholders cannot lapse and re-enter</w:t>
      </w:r>
      <w:r w:rsidR="003D7880">
        <w:rPr>
          <w:rFonts w:asciiTheme="majorHAnsi" w:hAnsiTheme="majorHAnsi" w:cs="URWPalladioL-Roma"/>
          <w:sz w:val="24"/>
          <w:szCs w:val="24"/>
        </w:rPr>
        <w:t xml:space="preserve"> within the time period considered</w:t>
      </w:r>
      <w:r w:rsidRPr="00AF643E">
        <w:rPr>
          <w:rFonts w:asciiTheme="majorHAnsi" w:hAnsiTheme="majorHAnsi" w:cs="URWPalladioL-Roma"/>
          <w:sz w:val="24"/>
          <w:szCs w:val="24"/>
        </w:rPr>
        <w:t>. We considered a closed portfolio with death as the only decrement.</w:t>
      </w:r>
      <w:r w:rsidR="003D7880">
        <w:rPr>
          <w:rFonts w:asciiTheme="majorHAnsi" w:hAnsiTheme="majorHAnsi" w:cs="URWPalladioL-Roma"/>
          <w:sz w:val="24"/>
          <w:szCs w:val="24"/>
        </w:rPr>
        <w:t xml:space="preserve"> These assumptions could be allowed for in the hedge if required.</w:t>
      </w:r>
    </w:p>
    <w:p w:rsidR="005E47B9" w:rsidRPr="00AF643E"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 xml:space="preserve">It should be noted that the aim of hedging is not to create profits, but merely to </w:t>
      </w:r>
      <w:proofErr w:type="spellStart"/>
      <w:r w:rsidRPr="00AF643E">
        <w:rPr>
          <w:rFonts w:asciiTheme="majorHAnsi" w:hAnsiTheme="majorHAnsi" w:cs="URWPalladioL-Roma"/>
          <w:sz w:val="24"/>
          <w:szCs w:val="24"/>
        </w:rPr>
        <w:t>stabilise</w:t>
      </w:r>
      <w:proofErr w:type="spellEnd"/>
      <w:r w:rsidRPr="00AF643E">
        <w:rPr>
          <w:rFonts w:asciiTheme="majorHAnsi" w:hAnsiTheme="majorHAnsi" w:cs="URWPalladioL-Roma"/>
          <w:sz w:val="24"/>
          <w:szCs w:val="24"/>
        </w:rPr>
        <w:t xml:space="preserve"> cash-flows. A hedge attempts to smooth the cash-flows by offsetting profits on the one product with losses on the other product. In this section, the terms profits and losses will refer to positive and negative cash-flows respectively. These terms differ from usual business net profits</w:t>
      </w:r>
      <w:r w:rsidR="00BE0A30">
        <w:rPr>
          <w:rFonts w:asciiTheme="majorHAnsi" w:hAnsiTheme="majorHAnsi" w:cs="URWPalladioL-Roma"/>
          <w:sz w:val="24"/>
          <w:szCs w:val="24"/>
        </w:rPr>
        <w:t>,</w:t>
      </w:r>
      <w:r w:rsidRPr="00AF643E">
        <w:rPr>
          <w:rFonts w:asciiTheme="majorHAnsi" w:hAnsiTheme="majorHAnsi" w:cs="URWPalladioL-Roma"/>
          <w:sz w:val="24"/>
          <w:szCs w:val="24"/>
        </w:rPr>
        <w:t xml:space="preserve"> s</w:t>
      </w:r>
      <w:r w:rsidR="00BE0A30">
        <w:rPr>
          <w:rFonts w:asciiTheme="majorHAnsi" w:hAnsiTheme="majorHAnsi" w:cs="URWPalladioL-Roma"/>
          <w:sz w:val="24"/>
          <w:szCs w:val="24"/>
        </w:rPr>
        <w:t>ince</w:t>
      </w:r>
      <w:r w:rsidRPr="00AF643E">
        <w:rPr>
          <w:rFonts w:asciiTheme="majorHAnsi" w:hAnsiTheme="majorHAnsi" w:cs="URWPalladioL-Roma"/>
          <w:sz w:val="24"/>
          <w:szCs w:val="24"/>
        </w:rPr>
        <w:t xml:space="preserve"> the</w:t>
      </w:r>
      <w:r w:rsidR="003D7880">
        <w:rPr>
          <w:rFonts w:asciiTheme="majorHAnsi" w:hAnsiTheme="majorHAnsi" w:cs="URWPalladioL-Roma"/>
          <w:sz w:val="24"/>
          <w:szCs w:val="24"/>
        </w:rPr>
        <w:t>se</w:t>
      </w:r>
      <w:r w:rsidRPr="00AF643E">
        <w:rPr>
          <w:rFonts w:asciiTheme="majorHAnsi" w:hAnsiTheme="majorHAnsi" w:cs="URWPalladioL-Roma"/>
          <w:sz w:val="24"/>
          <w:szCs w:val="24"/>
        </w:rPr>
        <w:t xml:space="preserve"> take expenses, the cost of rebalancing, management charges and other components of net profit into account.</w:t>
      </w:r>
    </w:p>
    <w:p w:rsidR="005E47B9" w:rsidRPr="00AF643E"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 xml:space="preserve">We investigated the hedge over several </w:t>
      </w:r>
      <w:r w:rsidR="0094517D">
        <w:rPr>
          <w:rFonts w:asciiTheme="majorHAnsi" w:hAnsiTheme="majorHAnsi" w:cs="URWPalladioL-Roma"/>
          <w:sz w:val="24"/>
          <w:szCs w:val="24"/>
        </w:rPr>
        <w:t>terms or time horizons</w:t>
      </w:r>
      <w:r w:rsidRPr="00AF643E">
        <w:rPr>
          <w:rFonts w:asciiTheme="majorHAnsi" w:hAnsiTheme="majorHAnsi" w:cs="URWPalladioL-Roma"/>
          <w:sz w:val="24"/>
          <w:szCs w:val="24"/>
        </w:rPr>
        <w:t xml:space="preserve">.  For a term of </w:t>
      </w:r>
      <m:oMath>
        <m:r>
          <w:rPr>
            <w:rFonts w:ascii="Cambria Math" w:hAnsi="Cambria Math" w:cs="URWPalladioL-Roma"/>
            <w:sz w:val="24"/>
            <w:szCs w:val="24"/>
          </w:rPr>
          <m:t>n</m:t>
        </m:r>
      </m:oMath>
      <w:r w:rsidRPr="00AF643E">
        <w:rPr>
          <w:rFonts w:asciiTheme="majorHAnsi" w:hAnsiTheme="majorHAnsi" w:cs="URWPalladioL-Roma"/>
          <w:sz w:val="24"/>
          <w:szCs w:val="24"/>
        </w:rPr>
        <w:t xml:space="preserve"> years, we calculated the present values of the assurance and annuity using different increases in longevity. We then calculated the difference between the present values of each product for two different longevity improvements and divided these differences to find the amount of assuran</w:t>
      </w:r>
      <w:r>
        <w:rPr>
          <w:rFonts w:asciiTheme="majorHAnsi" w:hAnsiTheme="majorHAnsi" w:cs="URWPalladioL-Roma"/>
          <w:sz w:val="24"/>
          <w:szCs w:val="24"/>
        </w:rPr>
        <w:t>ces required as defined by the L</w:t>
      </w:r>
      <w:r w:rsidRPr="00AF643E">
        <w:rPr>
          <w:rFonts w:asciiTheme="majorHAnsi" w:hAnsiTheme="majorHAnsi" w:cs="URWPalladioL-Roma"/>
          <w:sz w:val="24"/>
          <w:szCs w:val="24"/>
        </w:rPr>
        <w:t xml:space="preserve">HR. For example, we assumed a 1% improvement in longevity </w:t>
      </w:r>
      <w:r w:rsidR="00B31A25">
        <w:rPr>
          <w:rFonts w:asciiTheme="majorHAnsi" w:hAnsiTheme="majorHAnsi" w:cs="URWPalladioL-Roma"/>
          <w:sz w:val="24"/>
          <w:szCs w:val="24"/>
        </w:rPr>
        <w:t xml:space="preserve">in pricing </w:t>
      </w:r>
      <w:r w:rsidRPr="00AF643E">
        <w:rPr>
          <w:rFonts w:asciiTheme="majorHAnsi" w:hAnsiTheme="majorHAnsi" w:cs="URWPalladioL-Roma"/>
          <w:sz w:val="24"/>
          <w:szCs w:val="24"/>
        </w:rPr>
        <w:t>and hedged for another 1%</w:t>
      </w:r>
      <w:r w:rsidR="00BE0A30">
        <w:rPr>
          <w:rFonts w:asciiTheme="majorHAnsi" w:hAnsiTheme="majorHAnsi" w:cs="URWPalladioL-Roma"/>
          <w:sz w:val="24"/>
          <w:szCs w:val="24"/>
        </w:rPr>
        <w:t xml:space="preserve"> (total 2% improvement)</w:t>
      </w:r>
      <w:r w:rsidRPr="00AF643E">
        <w:rPr>
          <w:rFonts w:asciiTheme="majorHAnsi" w:hAnsiTheme="majorHAnsi" w:cs="URWPalladioL-Roma"/>
          <w:sz w:val="24"/>
          <w:szCs w:val="24"/>
        </w:rPr>
        <w:t>. As such, we subtracted the present value of the assurance calculated assuming a 2% improvement from the present value of the assurance calculated assuming a 1% improvement. The change in the annuity value was calculated sim</w:t>
      </w:r>
      <w:r>
        <w:rPr>
          <w:rFonts w:asciiTheme="majorHAnsi" w:hAnsiTheme="majorHAnsi" w:cs="URWPalladioL-Roma"/>
          <w:sz w:val="24"/>
          <w:szCs w:val="24"/>
        </w:rPr>
        <w:t>ilarly. We then calculated the L</w:t>
      </w:r>
      <w:r w:rsidRPr="00AF643E">
        <w:rPr>
          <w:rFonts w:asciiTheme="majorHAnsi" w:hAnsiTheme="majorHAnsi" w:cs="URWPalladioL-Roma"/>
          <w:sz w:val="24"/>
          <w:szCs w:val="24"/>
        </w:rPr>
        <w:t>HR and used this value to determine the number of units of life assurance required.</w:t>
      </w:r>
    </w:p>
    <w:p w:rsidR="005E47B9"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The following graphs show the effect of the different terms on the cash-flows resulting from the hedge.</w:t>
      </w:r>
    </w:p>
    <w:p w:rsidR="005E47B9" w:rsidRPr="00AF643E" w:rsidRDefault="005E47B9" w:rsidP="005E47B9">
      <w:pPr>
        <w:spacing w:line="360" w:lineRule="auto"/>
        <w:jc w:val="both"/>
        <w:rPr>
          <w:rFonts w:asciiTheme="majorHAnsi" w:hAnsiTheme="majorHAnsi" w:cs="URWPalladioL-Roma"/>
          <w:sz w:val="24"/>
          <w:szCs w:val="24"/>
        </w:rPr>
      </w:pPr>
    </w:p>
    <w:p w:rsidR="005E47B9" w:rsidRPr="00AF643E" w:rsidRDefault="005E47B9" w:rsidP="005E47B9">
      <w:pPr>
        <w:spacing w:line="360" w:lineRule="auto"/>
        <w:jc w:val="center"/>
        <w:rPr>
          <w:rFonts w:asciiTheme="majorHAnsi" w:hAnsiTheme="majorHAnsi" w:cs="URWPalladioL-Roma"/>
          <w:sz w:val="24"/>
          <w:szCs w:val="24"/>
        </w:rPr>
      </w:pPr>
      <w:r w:rsidRPr="00AF643E">
        <w:rPr>
          <w:rFonts w:asciiTheme="majorHAnsi" w:hAnsiTheme="majorHAnsi" w:cs="URWPalladioL-Roma"/>
          <w:noProof/>
          <w:sz w:val="24"/>
          <w:szCs w:val="24"/>
          <w:lang w:val="en-ZA" w:eastAsia="en-ZA"/>
        </w:rPr>
        <w:lastRenderedPageBreak/>
        <w:drawing>
          <wp:inline distT="0" distB="0" distL="0" distR="0" wp14:anchorId="1F71D229" wp14:editId="6C983480">
            <wp:extent cx="4783282" cy="2676698"/>
            <wp:effectExtent l="19050" t="0" r="17318" b="9352"/>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E47B9" w:rsidRPr="00AF643E" w:rsidRDefault="005E47B9" w:rsidP="005E47B9">
      <w:pPr>
        <w:spacing w:line="360" w:lineRule="auto"/>
        <w:jc w:val="both"/>
        <w:rPr>
          <w:rFonts w:asciiTheme="majorHAnsi" w:hAnsiTheme="majorHAnsi" w:cs="URWPalladioL-Roma"/>
          <w:sz w:val="24"/>
          <w:szCs w:val="24"/>
        </w:rPr>
      </w:pPr>
    </w:p>
    <w:p w:rsidR="005E47B9" w:rsidRPr="00AF643E"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 xml:space="preserve">This graph shows the cash-flows for the hedge where the hedge was done for a term of 2, 3, 4 and 5 years. The next graph show the cash-flows for the hedge where the hedge was done for a term of 5, 10, 15, 20, 25 and 55 years. Assuming a terminal age of 120, all annuitants will be dead in 55 </w:t>
      </w:r>
      <w:proofErr w:type="spellStart"/>
      <w:r w:rsidRPr="00AF643E">
        <w:rPr>
          <w:rFonts w:asciiTheme="majorHAnsi" w:hAnsiTheme="majorHAnsi" w:cs="URWPalladioL-Roma"/>
          <w:sz w:val="24"/>
          <w:szCs w:val="24"/>
        </w:rPr>
        <w:t>years time</w:t>
      </w:r>
      <w:proofErr w:type="spellEnd"/>
      <w:r w:rsidRPr="00AF643E">
        <w:rPr>
          <w:rFonts w:asciiTheme="majorHAnsi" w:hAnsiTheme="majorHAnsi" w:cs="URWPalladioL-Roma"/>
          <w:sz w:val="24"/>
          <w:szCs w:val="24"/>
        </w:rPr>
        <w:t>.</w:t>
      </w:r>
    </w:p>
    <w:p w:rsidR="005E47B9" w:rsidRPr="00AF643E" w:rsidRDefault="005E47B9" w:rsidP="005E47B9">
      <w:pPr>
        <w:spacing w:line="360" w:lineRule="auto"/>
        <w:jc w:val="both"/>
        <w:rPr>
          <w:rFonts w:asciiTheme="majorHAnsi" w:hAnsiTheme="majorHAnsi" w:cs="URWPalladioL-Roma"/>
          <w:sz w:val="24"/>
          <w:szCs w:val="24"/>
        </w:rPr>
      </w:pPr>
    </w:p>
    <w:p w:rsidR="005E47B9" w:rsidRDefault="005E47B9" w:rsidP="005E47B9">
      <w:pPr>
        <w:spacing w:line="360" w:lineRule="auto"/>
        <w:jc w:val="center"/>
        <w:rPr>
          <w:rFonts w:asciiTheme="majorHAnsi" w:hAnsiTheme="majorHAnsi" w:cs="URWPalladioL-Roma"/>
          <w:sz w:val="24"/>
          <w:szCs w:val="24"/>
        </w:rPr>
      </w:pPr>
      <w:r w:rsidRPr="00AF643E">
        <w:rPr>
          <w:rFonts w:asciiTheme="majorHAnsi" w:hAnsiTheme="majorHAnsi" w:cs="URWPalladioL-Roma"/>
          <w:noProof/>
          <w:sz w:val="24"/>
          <w:szCs w:val="24"/>
          <w:lang w:val="en-ZA" w:eastAsia="en-ZA"/>
        </w:rPr>
        <w:drawing>
          <wp:inline distT="0" distB="0" distL="0" distR="0" wp14:anchorId="262308E3" wp14:editId="2918C602">
            <wp:extent cx="4790902" cy="2685011"/>
            <wp:effectExtent l="19050" t="0" r="9698" b="1039"/>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E47B9" w:rsidRPr="00AF643E" w:rsidRDefault="005E47B9" w:rsidP="005E47B9">
      <w:pPr>
        <w:spacing w:line="360" w:lineRule="auto"/>
        <w:jc w:val="center"/>
        <w:rPr>
          <w:rFonts w:asciiTheme="majorHAnsi" w:hAnsiTheme="majorHAnsi" w:cs="URWPalladioL-Roma"/>
          <w:sz w:val="24"/>
          <w:szCs w:val="24"/>
        </w:rPr>
      </w:pPr>
    </w:p>
    <w:p w:rsidR="005E47B9" w:rsidRPr="00AF643E"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lastRenderedPageBreak/>
        <w:t xml:space="preserve">As can be seen from the graphs, hedging in this manner will allow the firm to break even or make profits if the actual longevity experience lies between the longevity assumed in pricing and the longevity hedged for. We assumed longevity improvements of 1% </w:t>
      </w:r>
      <w:r w:rsidR="0094517D">
        <w:rPr>
          <w:rFonts w:asciiTheme="majorHAnsi" w:hAnsiTheme="majorHAnsi" w:cs="URWPalladioL-Roma"/>
          <w:sz w:val="24"/>
          <w:szCs w:val="24"/>
        </w:rPr>
        <w:t xml:space="preserve">in pricing </w:t>
      </w:r>
      <w:r w:rsidRPr="00AF643E">
        <w:rPr>
          <w:rFonts w:asciiTheme="majorHAnsi" w:hAnsiTheme="majorHAnsi" w:cs="URWPalladioL-Roma"/>
          <w:sz w:val="24"/>
          <w:szCs w:val="24"/>
        </w:rPr>
        <w:t xml:space="preserve">and hedged for another 1%. The above graphs thus show zero profits at 1% and 2% and profits greater than zero if the longevity improvements are between 1% and 2%. If the improvements are less than 1% or greater than 2%, losses are incurred. </w:t>
      </w:r>
    </w:p>
    <w:p w:rsidR="005E47B9"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Another observation that can be made is that the profit and losses incurred depend on the term of the hedge. Larger losses are incurred for longer terms, but larger profits are made for longer terms as well. The risk appetite of the firm and the certainty of their estimates of future longevity increases may thus have a large impact on the decision regarding the term of the hedge. The following table shows the large difference in the size of the cash-flows for hedges of different terms.</w:t>
      </w:r>
    </w:p>
    <w:p w:rsidR="00B31A25" w:rsidRPr="00B31A25" w:rsidRDefault="00B31A25" w:rsidP="00B31A25">
      <w:pPr>
        <w:pStyle w:val="Caption"/>
        <w:rPr>
          <w:rFonts w:asciiTheme="majorHAnsi" w:hAnsiTheme="majorHAnsi" w:cs="URWPalladioL-Roma"/>
          <w:sz w:val="22"/>
          <w:szCs w:val="22"/>
        </w:rPr>
      </w:pPr>
      <w:r w:rsidRPr="00B31A25">
        <w:rPr>
          <w:sz w:val="22"/>
          <w:szCs w:val="22"/>
        </w:rPr>
        <w:t xml:space="preserve">Table </w:t>
      </w:r>
      <w:r w:rsidRPr="00B31A25">
        <w:rPr>
          <w:sz w:val="22"/>
          <w:szCs w:val="22"/>
        </w:rPr>
        <w:fldChar w:fldCharType="begin"/>
      </w:r>
      <w:r w:rsidRPr="00B31A25">
        <w:rPr>
          <w:sz w:val="22"/>
          <w:szCs w:val="22"/>
        </w:rPr>
        <w:instrText xml:space="preserve"> SEQ Table \* ARABIC </w:instrText>
      </w:r>
      <w:r w:rsidRPr="00B31A25">
        <w:rPr>
          <w:sz w:val="22"/>
          <w:szCs w:val="22"/>
        </w:rPr>
        <w:fldChar w:fldCharType="separate"/>
      </w:r>
      <w:r w:rsidR="002B2B63">
        <w:rPr>
          <w:noProof/>
          <w:sz w:val="22"/>
          <w:szCs w:val="22"/>
        </w:rPr>
        <w:t>6</w:t>
      </w:r>
      <w:r w:rsidRPr="00B31A25">
        <w:rPr>
          <w:sz w:val="22"/>
          <w:szCs w:val="22"/>
        </w:rPr>
        <w:fldChar w:fldCharType="end"/>
      </w:r>
      <w:r w:rsidRPr="00B31A25">
        <w:rPr>
          <w:sz w:val="22"/>
          <w:szCs w:val="22"/>
        </w:rPr>
        <w:t xml:space="preserve"> - Cash-flows resulting from the different longevity improvements</w:t>
      </w:r>
    </w:p>
    <w:tbl>
      <w:tblPr>
        <w:tblW w:w="9924" w:type="dxa"/>
        <w:tblInd w:w="-318" w:type="dxa"/>
        <w:tblLayout w:type="fixed"/>
        <w:tblLook w:val="04A0" w:firstRow="1" w:lastRow="0" w:firstColumn="1" w:lastColumn="0" w:noHBand="0" w:noVBand="1"/>
      </w:tblPr>
      <w:tblGrid>
        <w:gridCol w:w="710"/>
        <w:gridCol w:w="1701"/>
        <w:gridCol w:w="1417"/>
        <w:gridCol w:w="912"/>
        <w:gridCol w:w="1296"/>
        <w:gridCol w:w="911"/>
        <w:gridCol w:w="1559"/>
        <w:gridCol w:w="1418"/>
      </w:tblGrid>
      <w:tr w:rsidR="005E47B9" w:rsidRPr="00633E0A" w:rsidTr="00B31A25">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7B9" w:rsidRPr="00633E0A" w:rsidRDefault="004618AB" w:rsidP="005E47B9">
            <w:pPr>
              <w:spacing w:after="0" w:line="240" w:lineRule="auto"/>
              <w:rPr>
                <w:rFonts w:ascii="Calibri" w:eastAsia="Times New Roman" w:hAnsi="Calibri" w:cs="Calibri"/>
                <w:color w:val="000000"/>
              </w:rPr>
            </w:pPr>
            <w:r>
              <w:br w:type="page"/>
            </w:r>
            <w:r w:rsidR="005E47B9">
              <w:rPr>
                <w:rFonts w:ascii="Calibri" w:eastAsia="Times New Roman" w:hAnsi="Calibri" w:cs="Calibri"/>
                <w:color w:val="000000"/>
              </w:rPr>
              <w:t>Term in years</w:t>
            </w:r>
          </w:p>
        </w:tc>
        <w:tc>
          <w:tcPr>
            <w:tcW w:w="9214" w:type="dxa"/>
            <w:gridSpan w:val="7"/>
            <w:tcBorders>
              <w:top w:val="single" w:sz="4" w:space="0" w:color="auto"/>
              <w:left w:val="nil"/>
              <w:bottom w:val="single" w:sz="4" w:space="0" w:color="auto"/>
              <w:right w:val="single" w:sz="4" w:space="0" w:color="auto"/>
            </w:tcBorders>
            <w:shd w:val="clear" w:color="auto" w:fill="auto"/>
            <w:noWrap/>
            <w:vAlign w:val="bottom"/>
            <w:hideMark/>
          </w:tcPr>
          <w:p w:rsidR="005E47B9" w:rsidRDefault="005E47B9" w:rsidP="005E47B9">
            <w:pPr>
              <w:spacing w:after="0" w:line="240" w:lineRule="auto"/>
              <w:jc w:val="center"/>
              <w:rPr>
                <w:rFonts w:ascii="Calibri" w:eastAsia="Times New Roman" w:hAnsi="Calibri" w:cs="Calibri"/>
                <w:color w:val="000000"/>
              </w:rPr>
            </w:pPr>
            <w:r>
              <w:rPr>
                <w:rFonts w:ascii="Calibri" w:eastAsia="Times New Roman" w:hAnsi="Calibri" w:cs="Calibri"/>
                <w:color w:val="000000"/>
              </w:rPr>
              <w:t>Cash-flows resulting from the different longevity improvements</w:t>
            </w:r>
            <w:r w:rsidR="00BE0A30">
              <w:rPr>
                <w:rFonts w:ascii="Calibri" w:eastAsia="Times New Roman" w:hAnsi="Calibri" w:cs="Calibri"/>
                <w:color w:val="000000"/>
              </w:rPr>
              <w:t xml:space="preserve">, on 100 000 </w:t>
            </w:r>
            <w:r w:rsidR="00B31A25">
              <w:rPr>
                <w:rFonts w:ascii="Calibri" w:eastAsia="Times New Roman" w:hAnsi="Calibri" w:cs="Calibri"/>
                <w:color w:val="000000"/>
              </w:rPr>
              <w:t>annuities of R60 000pa</w:t>
            </w:r>
          </w:p>
          <w:p w:rsidR="005E47B9" w:rsidRPr="00633E0A" w:rsidRDefault="005E47B9" w:rsidP="005E47B9">
            <w:pPr>
              <w:spacing w:after="0" w:line="240" w:lineRule="auto"/>
              <w:jc w:val="center"/>
              <w:rPr>
                <w:rFonts w:ascii="Calibri" w:eastAsia="Times New Roman" w:hAnsi="Calibri" w:cs="Calibri"/>
                <w:color w:val="000000"/>
              </w:rPr>
            </w:pPr>
          </w:p>
        </w:tc>
      </w:tr>
      <w:tr w:rsidR="005E47B9" w:rsidRPr="00633E0A" w:rsidTr="00B31A25">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rPr>
                <w:rFonts w:ascii="Calibri" w:eastAsia="Times New Roman" w:hAnsi="Calibri" w:cs="Calibri"/>
                <w:color w:val="000000"/>
              </w:rPr>
            </w:pPr>
            <w:r w:rsidRPr="00633E0A">
              <w:rPr>
                <w:rFonts w:ascii="Calibri" w:eastAsia="Times New Roman" w:hAnsi="Calibri" w:cs="Calibri"/>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0.0%</w:t>
            </w:r>
          </w:p>
        </w:tc>
        <w:tc>
          <w:tcPr>
            <w:tcW w:w="1417"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0.5%</w:t>
            </w:r>
          </w:p>
        </w:tc>
        <w:tc>
          <w:tcPr>
            <w:tcW w:w="912"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1.0%</w:t>
            </w:r>
          </w:p>
        </w:tc>
        <w:tc>
          <w:tcPr>
            <w:tcW w:w="1296"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1.5%</w:t>
            </w:r>
          </w:p>
        </w:tc>
        <w:tc>
          <w:tcPr>
            <w:tcW w:w="91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2.0%</w:t>
            </w:r>
          </w:p>
        </w:tc>
        <w:tc>
          <w:tcPr>
            <w:tcW w:w="1559"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2.5%</w:t>
            </w:r>
          </w:p>
        </w:tc>
        <w:tc>
          <w:tcPr>
            <w:tcW w:w="1418"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3.0%</w:t>
            </w:r>
          </w:p>
        </w:tc>
      </w:tr>
      <w:tr w:rsidR="005E47B9" w:rsidRPr="00633E0A" w:rsidTr="00B31A25">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w:t>
            </w:r>
          </w:p>
        </w:tc>
        <w:tc>
          <w:tcPr>
            <w:tcW w:w="170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-7</w:t>
            </w:r>
            <w:r w:rsidR="00BE0A30">
              <w:rPr>
                <w:rFonts w:ascii="Calibri" w:eastAsia="Times New Roman" w:hAnsi="Calibri" w:cs="Calibri"/>
                <w:color w:val="000000"/>
              </w:rPr>
              <w:t>,</w:t>
            </w:r>
            <w:r w:rsidRPr="00633E0A">
              <w:rPr>
                <w:rFonts w:ascii="Calibri" w:eastAsia="Times New Roman" w:hAnsi="Calibri" w:cs="Calibri"/>
                <w:color w:val="000000"/>
              </w:rPr>
              <w:t>560</w:t>
            </w:r>
          </w:p>
        </w:tc>
        <w:tc>
          <w:tcPr>
            <w:tcW w:w="1417"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w:t>
            </w:r>
            <w:r w:rsidR="00BE0A30">
              <w:rPr>
                <w:rFonts w:ascii="Calibri" w:eastAsia="Times New Roman" w:hAnsi="Calibri" w:cs="Calibri"/>
                <w:color w:val="000000"/>
              </w:rPr>
              <w:t>,</w:t>
            </w:r>
            <w:r w:rsidRPr="00633E0A">
              <w:rPr>
                <w:rFonts w:ascii="Calibri" w:eastAsia="Times New Roman" w:hAnsi="Calibri" w:cs="Calibri"/>
                <w:color w:val="000000"/>
              </w:rPr>
              <w:t>835</w:t>
            </w:r>
          </w:p>
        </w:tc>
        <w:tc>
          <w:tcPr>
            <w:tcW w:w="912"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296"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945</w:t>
            </w:r>
          </w:p>
        </w:tc>
        <w:tc>
          <w:tcPr>
            <w:tcW w:w="91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559"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w:t>
            </w:r>
            <w:r w:rsidR="00BE0A30">
              <w:rPr>
                <w:rFonts w:ascii="Calibri" w:eastAsia="Times New Roman" w:hAnsi="Calibri" w:cs="Calibri"/>
                <w:color w:val="000000"/>
              </w:rPr>
              <w:t>,</w:t>
            </w:r>
            <w:r w:rsidRPr="00633E0A">
              <w:rPr>
                <w:rFonts w:ascii="Calibri" w:eastAsia="Times New Roman" w:hAnsi="Calibri" w:cs="Calibri"/>
                <w:color w:val="000000"/>
              </w:rPr>
              <w:t>835</w:t>
            </w:r>
          </w:p>
        </w:tc>
        <w:tc>
          <w:tcPr>
            <w:tcW w:w="1418"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-7</w:t>
            </w:r>
            <w:r w:rsidR="00BE0A30">
              <w:rPr>
                <w:rFonts w:ascii="Calibri" w:eastAsia="Times New Roman" w:hAnsi="Calibri" w:cs="Calibri"/>
                <w:color w:val="000000"/>
              </w:rPr>
              <w:t>,</w:t>
            </w:r>
            <w:r w:rsidRPr="00633E0A">
              <w:rPr>
                <w:rFonts w:ascii="Calibri" w:eastAsia="Times New Roman" w:hAnsi="Calibri" w:cs="Calibri"/>
                <w:color w:val="000000"/>
              </w:rPr>
              <w:t>560</w:t>
            </w:r>
          </w:p>
        </w:tc>
      </w:tr>
      <w:tr w:rsidR="005E47B9" w:rsidRPr="00633E0A" w:rsidTr="00B31A25">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3</w:t>
            </w:r>
          </w:p>
        </w:tc>
        <w:tc>
          <w:tcPr>
            <w:tcW w:w="170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-36</w:t>
            </w:r>
            <w:r w:rsidR="00BE0A30">
              <w:rPr>
                <w:rFonts w:ascii="Calibri" w:eastAsia="Times New Roman" w:hAnsi="Calibri" w:cs="Calibri"/>
                <w:color w:val="000000"/>
              </w:rPr>
              <w:t>,</w:t>
            </w:r>
            <w:r w:rsidRPr="00633E0A">
              <w:rPr>
                <w:rFonts w:ascii="Calibri" w:eastAsia="Times New Roman" w:hAnsi="Calibri" w:cs="Calibri"/>
                <w:color w:val="000000"/>
              </w:rPr>
              <w:t>844</w:t>
            </w:r>
          </w:p>
        </w:tc>
        <w:tc>
          <w:tcPr>
            <w:tcW w:w="1417"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-13</w:t>
            </w:r>
            <w:r w:rsidR="00BE0A30">
              <w:rPr>
                <w:rFonts w:ascii="Calibri" w:eastAsia="Times New Roman" w:hAnsi="Calibri" w:cs="Calibri"/>
                <w:color w:val="000000"/>
              </w:rPr>
              <w:t>,</w:t>
            </w:r>
            <w:r w:rsidRPr="00633E0A">
              <w:rPr>
                <w:rFonts w:ascii="Calibri" w:eastAsia="Times New Roman" w:hAnsi="Calibri" w:cs="Calibri"/>
                <w:color w:val="000000"/>
              </w:rPr>
              <w:t>788</w:t>
            </w:r>
          </w:p>
        </w:tc>
        <w:tc>
          <w:tcPr>
            <w:tcW w:w="912"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296"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4</w:t>
            </w:r>
            <w:r w:rsidR="00BE0A30">
              <w:rPr>
                <w:rFonts w:ascii="Calibri" w:eastAsia="Times New Roman" w:hAnsi="Calibri" w:cs="Calibri"/>
                <w:color w:val="000000"/>
              </w:rPr>
              <w:t>,</w:t>
            </w:r>
            <w:r w:rsidRPr="00633E0A">
              <w:rPr>
                <w:rFonts w:ascii="Calibri" w:eastAsia="Times New Roman" w:hAnsi="Calibri" w:cs="Calibri"/>
                <w:color w:val="000000"/>
              </w:rPr>
              <w:t>577</w:t>
            </w:r>
          </w:p>
        </w:tc>
        <w:tc>
          <w:tcPr>
            <w:tcW w:w="91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559"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-13</w:t>
            </w:r>
            <w:r w:rsidR="00BE0A30">
              <w:rPr>
                <w:rFonts w:ascii="Calibri" w:eastAsia="Times New Roman" w:hAnsi="Calibri" w:cs="Calibri"/>
                <w:color w:val="000000"/>
              </w:rPr>
              <w:t>,</w:t>
            </w:r>
            <w:r w:rsidRPr="00633E0A">
              <w:rPr>
                <w:rFonts w:ascii="Calibri" w:eastAsia="Times New Roman" w:hAnsi="Calibri" w:cs="Calibri"/>
                <w:color w:val="000000"/>
              </w:rPr>
              <w:t>674</w:t>
            </w:r>
          </w:p>
        </w:tc>
        <w:tc>
          <w:tcPr>
            <w:tcW w:w="1418"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-36</w:t>
            </w:r>
            <w:r w:rsidR="00BE0A30">
              <w:rPr>
                <w:rFonts w:ascii="Calibri" w:eastAsia="Times New Roman" w:hAnsi="Calibri" w:cs="Calibri"/>
                <w:color w:val="000000"/>
              </w:rPr>
              <w:t>,</w:t>
            </w:r>
            <w:r w:rsidRPr="00633E0A">
              <w:rPr>
                <w:rFonts w:ascii="Calibri" w:eastAsia="Times New Roman" w:hAnsi="Calibri" w:cs="Calibri"/>
                <w:color w:val="000000"/>
              </w:rPr>
              <w:t>388</w:t>
            </w:r>
          </w:p>
        </w:tc>
      </w:tr>
      <w:tr w:rsidR="005E47B9" w:rsidRPr="00633E0A" w:rsidTr="00B31A25">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4</w:t>
            </w:r>
          </w:p>
        </w:tc>
        <w:tc>
          <w:tcPr>
            <w:tcW w:w="170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-109</w:t>
            </w:r>
            <w:r w:rsidR="00BE0A30">
              <w:rPr>
                <w:rFonts w:ascii="Calibri" w:eastAsia="Times New Roman" w:hAnsi="Calibri" w:cs="Calibri"/>
                <w:color w:val="000000"/>
              </w:rPr>
              <w:t>,</w:t>
            </w:r>
            <w:r w:rsidRPr="00633E0A">
              <w:rPr>
                <w:rFonts w:ascii="Calibri" w:eastAsia="Times New Roman" w:hAnsi="Calibri" w:cs="Calibri"/>
                <w:color w:val="000000"/>
              </w:rPr>
              <w:t>017</w:t>
            </w:r>
          </w:p>
        </w:tc>
        <w:tc>
          <w:tcPr>
            <w:tcW w:w="1417"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-40</w:t>
            </w:r>
            <w:r w:rsidR="00BE0A30">
              <w:rPr>
                <w:rFonts w:ascii="Calibri" w:eastAsia="Times New Roman" w:hAnsi="Calibri" w:cs="Calibri"/>
                <w:color w:val="000000"/>
              </w:rPr>
              <w:t>,</w:t>
            </w:r>
            <w:r w:rsidRPr="00633E0A">
              <w:rPr>
                <w:rFonts w:ascii="Calibri" w:eastAsia="Times New Roman" w:hAnsi="Calibri" w:cs="Calibri"/>
                <w:color w:val="000000"/>
              </w:rPr>
              <w:t>709</w:t>
            </w:r>
          </w:p>
        </w:tc>
        <w:tc>
          <w:tcPr>
            <w:tcW w:w="912"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296"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13</w:t>
            </w:r>
            <w:r w:rsidR="00BE0A30">
              <w:rPr>
                <w:rFonts w:ascii="Calibri" w:eastAsia="Times New Roman" w:hAnsi="Calibri" w:cs="Calibri"/>
                <w:color w:val="000000"/>
              </w:rPr>
              <w:t>,</w:t>
            </w:r>
            <w:r w:rsidRPr="00633E0A">
              <w:rPr>
                <w:rFonts w:ascii="Calibri" w:eastAsia="Times New Roman" w:hAnsi="Calibri" w:cs="Calibri"/>
                <w:color w:val="000000"/>
              </w:rPr>
              <w:t>456</w:t>
            </w:r>
          </w:p>
        </w:tc>
        <w:tc>
          <w:tcPr>
            <w:tcW w:w="91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559"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-40</w:t>
            </w:r>
            <w:r w:rsidR="00BE0A30">
              <w:rPr>
                <w:rFonts w:ascii="Calibri" w:eastAsia="Times New Roman" w:hAnsi="Calibri" w:cs="Calibri"/>
                <w:color w:val="000000"/>
              </w:rPr>
              <w:t>,</w:t>
            </w:r>
            <w:r w:rsidRPr="00633E0A">
              <w:rPr>
                <w:rFonts w:ascii="Calibri" w:eastAsia="Times New Roman" w:hAnsi="Calibri" w:cs="Calibri"/>
                <w:color w:val="000000"/>
              </w:rPr>
              <w:t>026</w:t>
            </w:r>
          </w:p>
        </w:tc>
        <w:tc>
          <w:tcPr>
            <w:tcW w:w="1418"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-106</w:t>
            </w:r>
            <w:r w:rsidR="00BE0A30">
              <w:rPr>
                <w:rFonts w:ascii="Calibri" w:eastAsia="Times New Roman" w:hAnsi="Calibri" w:cs="Calibri"/>
                <w:color w:val="000000"/>
              </w:rPr>
              <w:t>,</w:t>
            </w:r>
            <w:r w:rsidRPr="00633E0A">
              <w:rPr>
                <w:rFonts w:ascii="Calibri" w:eastAsia="Times New Roman" w:hAnsi="Calibri" w:cs="Calibri"/>
                <w:color w:val="000000"/>
              </w:rPr>
              <w:t>283</w:t>
            </w:r>
          </w:p>
        </w:tc>
      </w:tr>
      <w:tr w:rsidR="005E47B9" w:rsidRPr="00633E0A" w:rsidTr="00B31A25">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5</w:t>
            </w:r>
          </w:p>
        </w:tc>
        <w:tc>
          <w:tcPr>
            <w:tcW w:w="170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-254</w:t>
            </w:r>
            <w:r w:rsidR="00BE0A30">
              <w:rPr>
                <w:rFonts w:ascii="Calibri" w:eastAsia="Times New Roman" w:hAnsi="Calibri" w:cs="Calibri"/>
                <w:color w:val="000000"/>
              </w:rPr>
              <w:t>,</w:t>
            </w:r>
            <w:r w:rsidRPr="00633E0A">
              <w:rPr>
                <w:rFonts w:ascii="Calibri" w:eastAsia="Times New Roman" w:hAnsi="Calibri" w:cs="Calibri"/>
                <w:color w:val="000000"/>
              </w:rPr>
              <w:t>035</w:t>
            </w:r>
          </w:p>
        </w:tc>
        <w:tc>
          <w:tcPr>
            <w:tcW w:w="1417"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-94</w:t>
            </w:r>
            <w:r w:rsidR="00BE0A30">
              <w:rPr>
                <w:rFonts w:ascii="Calibri" w:eastAsia="Times New Roman" w:hAnsi="Calibri" w:cs="Calibri"/>
                <w:color w:val="000000"/>
              </w:rPr>
              <w:t>,</w:t>
            </w:r>
            <w:r w:rsidRPr="00633E0A">
              <w:rPr>
                <w:rFonts w:ascii="Calibri" w:eastAsia="Times New Roman" w:hAnsi="Calibri" w:cs="Calibri"/>
                <w:color w:val="000000"/>
              </w:rPr>
              <w:t>649</w:t>
            </w:r>
          </w:p>
        </w:tc>
        <w:tc>
          <w:tcPr>
            <w:tcW w:w="912"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296"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31</w:t>
            </w:r>
            <w:r w:rsidR="00BE0A30">
              <w:rPr>
                <w:rFonts w:ascii="Calibri" w:eastAsia="Times New Roman" w:hAnsi="Calibri" w:cs="Calibri"/>
                <w:color w:val="000000"/>
              </w:rPr>
              <w:t>,</w:t>
            </w:r>
            <w:r w:rsidRPr="00633E0A">
              <w:rPr>
                <w:rFonts w:ascii="Calibri" w:eastAsia="Times New Roman" w:hAnsi="Calibri" w:cs="Calibri"/>
                <w:color w:val="000000"/>
              </w:rPr>
              <w:t>143</w:t>
            </w:r>
          </w:p>
        </w:tc>
        <w:tc>
          <w:tcPr>
            <w:tcW w:w="91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559"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-92</w:t>
            </w:r>
            <w:r w:rsidR="00BE0A30">
              <w:rPr>
                <w:rFonts w:ascii="Calibri" w:eastAsia="Times New Roman" w:hAnsi="Calibri" w:cs="Calibri"/>
                <w:color w:val="000000"/>
              </w:rPr>
              <w:t>,</w:t>
            </w:r>
            <w:r w:rsidRPr="00633E0A">
              <w:rPr>
                <w:rFonts w:ascii="Calibri" w:eastAsia="Times New Roman" w:hAnsi="Calibri" w:cs="Calibri"/>
                <w:color w:val="000000"/>
              </w:rPr>
              <w:t>225</w:t>
            </w:r>
          </w:p>
        </w:tc>
        <w:tc>
          <w:tcPr>
            <w:tcW w:w="1418"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-244</w:t>
            </w:r>
            <w:r w:rsidR="00BE0A30">
              <w:rPr>
                <w:rFonts w:ascii="Calibri" w:eastAsia="Times New Roman" w:hAnsi="Calibri" w:cs="Calibri"/>
                <w:color w:val="000000"/>
              </w:rPr>
              <w:t>,</w:t>
            </w:r>
            <w:r w:rsidRPr="00633E0A">
              <w:rPr>
                <w:rFonts w:ascii="Calibri" w:eastAsia="Times New Roman" w:hAnsi="Calibri" w:cs="Calibri"/>
                <w:color w:val="000000"/>
              </w:rPr>
              <w:t>341</w:t>
            </w:r>
          </w:p>
        </w:tc>
      </w:tr>
      <w:tr w:rsidR="005E47B9" w:rsidRPr="00633E0A" w:rsidTr="00B31A25">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10</w:t>
            </w:r>
          </w:p>
        </w:tc>
        <w:tc>
          <w:tcPr>
            <w:tcW w:w="170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-4</w:t>
            </w:r>
            <w:r w:rsidR="00BE0A30">
              <w:rPr>
                <w:rFonts w:ascii="Calibri" w:eastAsia="Times New Roman" w:hAnsi="Calibri" w:cs="Calibri"/>
                <w:color w:val="000000"/>
              </w:rPr>
              <w:t>,</w:t>
            </w:r>
            <w:r w:rsidRPr="00633E0A">
              <w:rPr>
                <w:rFonts w:ascii="Calibri" w:eastAsia="Times New Roman" w:hAnsi="Calibri" w:cs="Calibri"/>
                <w:color w:val="000000"/>
              </w:rPr>
              <w:t>194</w:t>
            </w:r>
            <w:r w:rsidR="00BE0A30">
              <w:rPr>
                <w:rFonts w:ascii="Calibri" w:eastAsia="Times New Roman" w:hAnsi="Calibri" w:cs="Calibri"/>
                <w:color w:val="000000"/>
              </w:rPr>
              <w:t>,</w:t>
            </w:r>
            <w:r w:rsidRPr="00633E0A">
              <w:rPr>
                <w:rFonts w:ascii="Calibri" w:eastAsia="Times New Roman" w:hAnsi="Calibri" w:cs="Calibri"/>
                <w:color w:val="000000"/>
              </w:rPr>
              <w:t>472</w:t>
            </w:r>
          </w:p>
        </w:tc>
        <w:tc>
          <w:tcPr>
            <w:tcW w:w="1417"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-1</w:t>
            </w:r>
            <w:r w:rsidR="00BE0A30">
              <w:rPr>
                <w:rFonts w:ascii="Calibri" w:eastAsia="Times New Roman" w:hAnsi="Calibri" w:cs="Calibri"/>
                <w:color w:val="000000"/>
              </w:rPr>
              <w:t>,</w:t>
            </w:r>
            <w:r w:rsidRPr="00633E0A">
              <w:rPr>
                <w:rFonts w:ascii="Calibri" w:eastAsia="Times New Roman" w:hAnsi="Calibri" w:cs="Calibri"/>
                <w:color w:val="000000"/>
              </w:rPr>
              <w:t>543</w:t>
            </w:r>
            <w:r w:rsidR="00BE0A30">
              <w:rPr>
                <w:rFonts w:ascii="Calibri" w:eastAsia="Times New Roman" w:hAnsi="Calibri" w:cs="Calibri"/>
                <w:color w:val="000000"/>
              </w:rPr>
              <w:t>,</w:t>
            </w:r>
            <w:r w:rsidRPr="00633E0A">
              <w:rPr>
                <w:rFonts w:ascii="Calibri" w:eastAsia="Times New Roman" w:hAnsi="Calibri" w:cs="Calibri"/>
                <w:color w:val="000000"/>
              </w:rPr>
              <w:t>214</w:t>
            </w:r>
          </w:p>
        </w:tc>
        <w:tc>
          <w:tcPr>
            <w:tcW w:w="912"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296"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495</w:t>
            </w:r>
            <w:r w:rsidR="00BE0A30">
              <w:rPr>
                <w:rFonts w:ascii="Calibri" w:eastAsia="Times New Roman" w:hAnsi="Calibri" w:cs="Calibri"/>
                <w:color w:val="000000"/>
              </w:rPr>
              <w:t>,</w:t>
            </w:r>
            <w:r w:rsidRPr="00633E0A">
              <w:rPr>
                <w:rFonts w:ascii="Calibri" w:eastAsia="Times New Roman" w:hAnsi="Calibri" w:cs="Calibri"/>
                <w:color w:val="000000"/>
              </w:rPr>
              <w:t>212</w:t>
            </w:r>
          </w:p>
        </w:tc>
        <w:tc>
          <w:tcPr>
            <w:tcW w:w="91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559"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-1</w:t>
            </w:r>
            <w:r w:rsidR="00BE0A30">
              <w:rPr>
                <w:rFonts w:ascii="Calibri" w:eastAsia="Times New Roman" w:hAnsi="Calibri" w:cs="Calibri"/>
                <w:color w:val="000000"/>
              </w:rPr>
              <w:t>,</w:t>
            </w:r>
            <w:r w:rsidRPr="00633E0A">
              <w:rPr>
                <w:rFonts w:ascii="Calibri" w:eastAsia="Times New Roman" w:hAnsi="Calibri" w:cs="Calibri"/>
                <w:color w:val="000000"/>
              </w:rPr>
              <w:t>430</w:t>
            </w:r>
            <w:r w:rsidR="00BE0A30">
              <w:rPr>
                <w:rFonts w:ascii="Calibri" w:eastAsia="Times New Roman" w:hAnsi="Calibri" w:cs="Calibri"/>
                <w:color w:val="000000"/>
              </w:rPr>
              <w:t>,</w:t>
            </w:r>
            <w:r w:rsidRPr="00633E0A">
              <w:rPr>
                <w:rFonts w:ascii="Calibri" w:eastAsia="Times New Roman" w:hAnsi="Calibri" w:cs="Calibri"/>
                <w:color w:val="000000"/>
              </w:rPr>
              <w:t>436</w:t>
            </w:r>
          </w:p>
        </w:tc>
        <w:tc>
          <w:tcPr>
            <w:tcW w:w="1418"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-3</w:t>
            </w:r>
            <w:r w:rsidR="00BE0A30">
              <w:rPr>
                <w:rFonts w:ascii="Calibri" w:eastAsia="Times New Roman" w:hAnsi="Calibri" w:cs="Calibri"/>
                <w:color w:val="000000"/>
              </w:rPr>
              <w:t>,</w:t>
            </w:r>
            <w:r w:rsidRPr="00633E0A">
              <w:rPr>
                <w:rFonts w:ascii="Calibri" w:eastAsia="Times New Roman" w:hAnsi="Calibri" w:cs="Calibri"/>
                <w:color w:val="000000"/>
              </w:rPr>
              <w:t>743</w:t>
            </w:r>
            <w:r w:rsidR="00BE0A30">
              <w:rPr>
                <w:rFonts w:ascii="Calibri" w:eastAsia="Times New Roman" w:hAnsi="Calibri" w:cs="Calibri"/>
                <w:color w:val="000000"/>
              </w:rPr>
              <w:t>,</w:t>
            </w:r>
            <w:r w:rsidRPr="00633E0A">
              <w:rPr>
                <w:rFonts w:ascii="Calibri" w:eastAsia="Times New Roman" w:hAnsi="Calibri" w:cs="Calibri"/>
                <w:color w:val="000000"/>
              </w:rPr>
              <w:t>191</w:t>
            </w:r>
          </w:p>
        </w:tc>
      </w:tr>
      <w:tr w:rsidR="005E47B9" w:rsidRPr="00633E0A" w:rsidTr="00B31A25">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15</w:t>
            </w:r>
          </w:p>
        </w:tc>
        <w:tc>
          <w:tcPr>
            <w:tcW w:w="170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-26</w:t>
            </w:r>
            <w:r w:rsidR="00BE0A30">
              <w:rPr>
                <w:rFonts w:ascii="Calibri" w:eastAsia="Times New Roman" w:hAnsi="Calibri" w:cs="Calibri"/>
                <w:color w:val="000000"/>
              </w:rPr>
              <w:t>,</w:t>
            </w:r>
            <w:r w:rsidRPr="00633E0A">
              <w:rPr>
                <w:rFonts w:ascii="Calibri" w:eastAsia="Times New Roman" w:hAnsi="Calibri" w:cs="Calibri"/>
                <w:color w:val="000000"/>
              </w:rPr>
              <w:t>307</w:t>
            </w:r>
            <w:r w:rsidR="00BE0A30">
              <w:rPr>
                <w:rFonts w:ascii="Calibri" w:eastAsia="Times New Roman" w:hAnsi="Calibri" w:cs="Calibri"/>
                <w:color w:val="000000"/>
              </w:rPr>
              <w:t>,</w:t>
            </w:r>
            <w:r w:rsidRPr="00633E0A">
              <w:rPr>
                <w:rFonts w:ascii="Calibri" w:eastAsia="Times New Roman" w:hAnsi="Calibri" w:cs="Calibri"/>
                <w:color w:val="000000"/>
              </w:rPr>
              <w:t>038</w:t>
            </w:r>
          </w:p>
        </w:tc>
        <w:tc>
          <w:tcPr>
            <w:tcW w:w="1417"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-9</w:t>
            </w:r>
            <w:r w:rsidR="00BE0A30">
              <w:rPr>
                <w:rFonts w:ascii="Calibri" w:eastAsia="Times New Roman" w:hAnsi="Calibri" w:cs="Calibri"/>
                <w:color w:val="000000"/>
              </w:rPr>
              <w:t>,</w:t>
            </w:r>
            <w:r w:rsidRPr="00633E0A">
              <w:rPr>
                <w:rFonts w:ascii="Calibri" w:eastAsia="Times New Roman" w:hAnsi="Calibri" w:cs="Calibri"/>
                <w:color w:val="000000"/>
              </w:rPr>
              <w:t>555</w:t>
            </w:r>
            <w:r w:rsidR="00BE0A30">
              <w:rPr>
                <w:rFonts w:ascii="Calibri" w:eastAsia="Times New Roman" w:hAnsi="Calibri" w:cs="Calibri"/>
                <w:color w:val="000000"/>
              </w:rPr>
              <w:t>,</w:t>
            </w:r>
            <w:r w:rsidRPr="00633E0A">
              <w:rPr>
                <w:rFonts w:ascii="Calibri" w:eastAsia="Times New Roman" w:hAnsi="Calibri" w:cs="Calibri"/>
                <w:color w:val="000000"/>
              </w:rPr>
              <w:t>539</w:t>
            </w:r>
          </w:p>
        </w:tc>
        <w:tc>
          <w:tcPr>
            <w:tcW w:w="912"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296"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w:t>
            </w:r>
            <w:r w:rsidR="00BE0A30">
              <w:rPr>
                <w:rFonts w:ascii="Calibri" w:eastAsia="Times New Roman" w:hAnsi="Calibri" w:cs="Calibri"/>
                <w:color w:val="000000"/>
              </w:rPr>
              <w:t>,</w:t>
            </w:r>
            <w:r w:rsidRPr="00633E0A">
              <w:rPr>
                <w:rFonts w:ascii="Calibri" w:eastAsia="Times New Roman" w:hAnsi="Calibri" w:cs="Calibri"/>
                <w:color w:val="000000"/>
              </w:rPr>
              <w:t>989</w:t>
            </w:r>
            <w:r w:rsidR="00BE0A30">
              <w:rPr>
                <w:rFonts w:ascii="Calibri" w:eastAsia="Times New Roman" w:hAnsi="Calibri" w:cs="Calibri"/>
                <w:color w:val="000000"/>
              </w:rPr>
              <w:t>,</w:t>
            </w:r>
            <w:r w:rsidRPr="00633E0A">
              <w:rPr>
                <w:rFonts w:ascii="Calibri" w:eastAsia="Times New Roman" w:hAnsi="Calibri" w:cs="Calibri"/>
                <w:color w:val="000000"/>
              </w:rPr>
              <w:t>354</w:t>
            </w:r>
          </w:p>
        </w:tc>
        <w:tc>
          <w:tcPr>
            <w:tcW w:w="91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559"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-8</w:t>
            </w:r>
            <w:r w:rsidR="00BE0A30">
              <w:rPr>
                <w:rFonts w:ascii="Calibri" w:eastAsia="Times New Roman" w:hAnsi="Calibri" w:cs="Calibri"/>
                <w:color w:val="000000"/>
              </w:rPr>
              <w:t>,</w:t>
            </w:r>
            <w:r w:rsidRPr="00633E0A">
              <w:rPr>
                <w:rFonts w:ascii="Calibri" w:eastAsia="Times New Roman" w:hAnsi="Calibri" w:cs="Calibri"/>
                <w:color w:val="000000"/>
              </w:rPr>
              <w:t>420</w:t>
            </w:r>
            <w:r w:rsidR="00BE0A30">
              <w:rPr>
                <w:rFonts w:ascii="Calibri" w:eastAsia="Times New Roman" w:hAnsi="Calibri" w:cs="Calibri"/>
                <w:color w:val="000000"/>
              </w:rPr>
              <w:t>,</w:t>
            </w:r>
            <w:r w:rsidRPr="00633E0A">
              <w:rPr>
                <w:rFonts w:ascii="Calibri" w:eastAsia="Times New Roman" w:hAnsi="Calibri" w:cs="Calibri"/>
                <w:color w:val="000000"/>
              </w:rPr>
              <w:t>619</w:t>
            </w:r>
          </w:p>
        </w:tc>
        <w:tc>
          <w:tcPr>
            <w:tcW w:w="1418"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-21</w:t>
            </w:r>
            <w:r w:rsidR="00BE0A30">
              <w:rPr>
                <w:rFonts w:ascii="Calibri" w:eastAsia="Times New Roman" w:hAnsi="Calibri" w:cs="Calibri"/>
                <w:color w:val="000000"/>
              </w:rPr>
              <w:t>,</w:t>
            </w:r>
            <w:r w:rsidRPr="00633E0A">
              <w:rPr>
                <w:rFonts w:ascii="Calibri" w:eastAsia="Times New Roman" w:hAnsi="Calibri" w:cs="Calibri"/>
                <w:color w:val="000000"/>
              </w:rPr>
              <w:t>762</w:t>
            </w:r>
            <w:r w:rsidR="00BE0A30">
              <w:rPr>
                <w:rFonts w:ascii="Calibri" w:eastAsia="Times New Roman" w:hAnsi="Calibri" w:cs="Calibri"/>
                <w:color w:val="000000"/>
              </w:rPr>
              <w:t>,</w:t>
            </w:r>
            <w:r w:rsidRPr="00633E0A">
              <w:rPr>
                <w:rFonts w:ascii="Calibri" w:eastAsia="Times New Roman" w:hAnsi="Calibri" w:cs="Calibri"/>
                <w:color w:val="000000"/>
              </w:rPr>
              <w:t>904</w:t>
            </w:r>
          </w:p>
        </w:tc>
      </w:tr>
      <w:tr w:rsidR="005E47B9" w:rsidRPr="00633E0A" w:rsidTr="00B31A25">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20</w:t>
            </w:r>
          </w:p>
        </w:tc>
        <w:tc>
          <w:tcPr>
            <w:tcW w:w="170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-97459</w:t>
            </w:r>
            <w:r w:rsidR="00BE0A30">
              <w:rPr>
                <w:rFonts w:ascii="Calibri" w:eastAsia="Times New Roman" w:hAnsi="Calibri" w:cs="Calibri"/>
                <w:color w:val="000000"/>
              </w:rPr>
              <w:t>,</w:t>
            </w:r>
            <w:r w:rsidRPr="00633E0A">
              <w:rPr>
                <w:rFonts w:ascii="Calibri" w:eastAsia="Times New Roman" w:hAnsi="Calibri" w:cs="Calibri"/>
                <w:color w:val="000000"/>
              </w:rPr>
              <w:t>022</w:t>
            </w:r>
          </w:p>
        </w:tc>
        <w:tc>
          <w:tcPr>
            <w:tcW w:w="1417"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-35</w:t>
            </w:r>
            <w:r w:rsidR="00BE0A30">
              <w:rPr>
                <w:rFonts w:ascii="Calibri" w:eastAsia="Times New Roman" w:hAnsi="Calibri" w:cs="Calibri"/>
                <w:color w:val="000000"/>
              </w:rPr>
              <w:t>,</w:t>
            </w:r>
            <w:r w:rsidRPr="00633E0A">
              <w:rPr>
                <w:rFonts w:ascii="Calibri" w:eastAsia="Times New Roman" w:hAnsi="Calibri" w:cs="Calibri"/>
                <w:color w:val="000000"/>
              </w:rPr>
              <w:t>046</w:t>
            </w:r>
            <w:r w:rsidR="00BE0A30">
              <w:rPr>
                <w:rFonts w:ascii="Calibri" w:eastAsia="Times New Roman" w:hAnsi="Calibri" w:cs="Calibri"/>
                <w:color w:val="000000"/>
              </w:rPr>
              <w:t>,</w:t>
            </w:r>
            <w:r w:rsidRPr="00633E0A">
              <w:rPr>
                <w:rFonts w:ascii="Calibri" w:eastAsia="Times New Roman" w:hAnsi="Calibri" w:cs="Calibri"/>
                <w:color w:val="000000"/>
              </w:rPr>
              <w:t>791</w:t>
            </w:r>
          </w:p>
        </w:tc>
        <w:tc>
          <w:tcPr>
            <w:tcW w:w="912"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296"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10</w:t>
            </w:r>
            <w:r w:rsidR="00BE0A30">
              <w:rPr>
                <w:rFonts w:ascii="Calibri" w:eastAsia="Times New Roman" w:hAnsi="Calibri" w:cs="Calibri"/>
                <w:color w:val="000000"/>
              </w:rPr>
              <w:t>,</w:t>
            </w:r>
            <w:r w:rsidRPr="00633E0A">
              <w:rPr>
                <w:rFonts w:ascii="Calibri" w:eastAsia="Times New Roman" w:hAnsi="Calibri" w:cs="Calibri"/>
                <w:color w:val="000000"/>
              </w:rPr>
              <w:t>743</w:t>
            </w:r>
            <w:r w:rsidR="00BE0A30">
              <w:rPr>
                <w:rFonts w:ascii="Calibri" w:eastAsia="Times New Roman" w:hAnsi="Calibri" w:cs="Calibri"/>
                <w:color w:val="000000"/>
              </w:rPr>
              <w:t>,</w:t>
            </w:r>
            <w:r w:rsidRPr="00633E0A">
              <w:rPr>
                <w:rFonts w:ascii="Calibri" w:eastAsia="Times New Roman" w:hAnsi="Calibri" w:cs="Calibri"/>
                <w:color w:val="000000"/>
              </w:rPr>
              <w:t>748</w:t>
            </w:r>
          </w:p>
        </w:tc>
        <w:tc>
          <w:tcPr>
            <w:tcW w:w="91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559"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-29</w:t>
            </w:r>
            <w:r w:rsidR="00BE0A30">
              <w:rPr>
                <w:rFonts w:ascii="Calibri" w:eastAsia="Times New Roman" w:hAnsi="Calibri" w:cs="Calibri"/>
                <w:color w:val="000000"/>
              </w:rPr>
              <w:t>,</w:t>
            </w:r>
            <w:r w:rsidRPr="00633E0A">
              <w:rPr>
                <w:rFonts w:ascii="Calibri" w:eastAsia="Times New Roman" w:hAnsi="Calibri" w:cs="Calibri"/>
                <w:color w:val="000000"/>
              </w:rPr>
              <w:t>650</w:t>
            </w:r>
            <w:r w:rsidR="00BE0A30">
              <w:rPr>
                <w:rFonts w:ascii="Calibri" w:eastAsia="Times New Roman" w:hAnsi="Calibri" w:cs="Calibri"/>
                <w:color w:val="000000"/>
              </w:rPr>
              <w:t>,</w:t>
            </w:r>
            <w:r w:rsidRPr="00633E0A">
              <w:rPr>
                <w:rFonts w:ascii="Calibri" w:eastAsia="Times New Roman" w:hAnsi="Calibri" w:cs="Calibri"/>
                <w:color w:val="000000"/>
              </w:rPr>
              <w:t>557</w:t>
            </w:r>
          </w:p>
        </w:tc>
        <w:tc>
          <w:tcPr>
            <w:tcW w:w="1418"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-75</w:t>
            </w:r>
            <w:r w:rsidR="00BE0A30">
              <w:rPr>
                <w:rFonts w:ascii="Calibri" w:eastAsia="Times New Roman" w:hAnsi="Calibri" w:cs="Calibri"/>
                <w:color w:val="000000"/>
              </w:rPr>
              <w:t>,</w:t>
            </w:r>
            <w:r w:rsidRPr="00633E0A">
              <w:rPr>
                <w:rFonts w:ascii="Calibri" w:eastAsia="Times New Roman" w:hAnsi="Calibri" w:cs="Calibri"/>
                <w:color w:val="000000"/>
              </w:rPr>
              <w:t>849</w:t>
            </w:r>
            <w:r w:rsidR="00BE0A30">
              <w:rPr>
                <w:rFonts w:ascii="Calibri" w:eastAsia="Times New Roman" w:hAnsi="Calibri" w:cs="Calibri"/>
                <w:color w:val="000000"/>
              </w:rPr>
              <w:t>,</w:t>
            </w:r>
            <w:r w:rsidRPr="00633E0A">
              <w:rPr>
                <w:rFonts w:ascii="Calibri" w:eastAsia="Times New Roman" w:hAnsi="Calibri" w:cs="Calibri"/>
                <w:color w:val="000000"/>
              </w:rPr>
              <w:t>548</w:t>
            </w:r>
          </w:p>
        </w:tc>
      </w:tr>
      <w:tr w:rsidR="005E47B9" w:rsidRPr="00633E0A" w:rsidTr="00B31A25">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25</w:t>
            </w:r>
          </w:p>
        </w:tc>
        <w:tc>
          <w:tcPr>
            <w:tcW w:w="170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-242</w:t>
            </w:r>
            <w:r w:rsidR="00BE0A30">
              <w:rPr>
                <w:rFonts w:ascii="Calibri" w:eastAsia="Times New Roman" w:hAnsi="Calibri" w:cs="Calibri"/>
                <w:color w:val="000000"/>
              </w:rPr>
              <w:t>,</w:t>
            </w:r>
            <w:r w:rsidRPr="00633E0A">
              <w:rPr>
                <w:rFonts w:ascii="Calibri" w:eastAsia="Times New Roman" w:hAnsi="Calibri" w:cs="Calibri"/>
                <w:color w:val="000000"/>
              </w:rPr>
              <w:t>351</w:t>
            </w:r>
            <w:r w:rsidR="00BE0A30">
              <w:rPr>
                <w:rFonts w:ascii="Calibri" w:eastAsia="Times New Roman" w:hAnsi="Calibri" w:cs="Calibri"/>
                <w:color w:val="000000"/>
              </w:rPr>
              <w:t>,</w:t>
            </w:r>
            <w:r w:rsidRPr="00633E0A">
              <w:rPr>
                <w:rFonts w:ascii="Calibri" w:eastAsia="Times New Roman" w:hAnsi="Calibri" w:cs="Calibri"/>
                <w:color w:val="000000"/>
              </w:rPr>
              <w:t>698</w:t>
            </w:r>
          </w:p>
        </w:tc>
        <w:tc>
          <w:tcPr>
            <w:tcW w:w="1417"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-86</w:t>
            </w:r>
            <w:r w:rsidR="00BE0A30">
              <w:rPr>
                <w:rFonts w:ascii="Calibri" w:eastAsia="Times New Roman" w:hAnsi="Calibri" w:cs="Calibri"/>
                <w:color w:val="000000"/>
              </w:rPr>
              <w:t>,</w:t>
            </w:r>
            <w:r w:rsidRPr="00633E0A">
              <w:rPr>
                <w:rFonts w:ascii="Calibri" w:eastAsia="Times New Roman" w:hAnsi="Calibri" w:cs="Calibri"/>
                <w:color w:val="000000"/>
              </w:rPr>
              <w:t>736</w:t>
            </w:r>
            <w:r w:rsidR="00BE0A30">
              <w:rPr>
                <w:rFonts w:ascii="Calibri" w:eastAsia="Times New Roman" w:hAnsi="Calibri" w:cs="Calibri"/>
                <w:color w:val="000000"/>
              </w:rPr>
              <w:t>,</w:t>
            </w:r>
            <w:r w:rsidRPr="00633E0A">
              <w:rPr>
                <w:rFonts w:ascii="Calibri" w:eastAsia="Times New Roman" w:hAnsi="Calibri" w:cs="Calibri"/>
                <w:color w:val="000000"/>
              </w:rPr>
              <w:t>115</w:t>
            </w:r>
          </w:p>
        </w:tc>
        <w:tc>
          <w:tcPr>
            <w:tcW w:w="912"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296"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26</w:t>
            </w:r>
            <w:r w:rsidR="00BE0A30">
              <w:rPr>
                <w:rFonts w:ascii="Calibri" w:eastAsia="Times New Roman" w:hAnsi="Calibri" w:cs="Calibri"/>
                <w:color w:val="000000"/>
              </w:rPr>
              <w:t>,</w:t>
            </w:r>
            <w:r w:rsidRPr="00633E0A">
              <w:rPr>
                <w:rFonts w:ascii="Calibri" w:eastAsia="Times New Roman" w:hAnsi="Calibri" w:cs="Calibri"/>
                <w:color w:val="000000"/>
              </w:rPr>
              <w:t>304</w:t>
            </w:r>
            <w:r w:rsidR="00BE0A30">
              <w:rPr>
                <w:rFonts w:ascii="Calibri" w:eastAsia="Times New Roman" w:hAnsi="Calibri" w:cs="Calibri"/>
                <w:color w:val="000000"/>
              </w:rPr>
              <w:t>,</w:t>
            </w:r>
            <w:r w:rsidRPr="00633E0A">
              <w:rPr>
                <w:rFonts w:ascii="Calibri" w:eastAsia="Times New Roman" w:hAnsi="Calibri" w:cs="Calibri"/>
                <w:color w:val="000000"/>
              </w:rPr>
              <w:t>409</w:t>
            </w:r>
          </w:p>
        </w:tc>
        <w:tc>
          <w:tcPr>
            <w:tcW w:w="91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559"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-71</w:t>
            </w:r>
            <w:r w:rsidR="00BE0A30">
              <w:rPr>
                <w:rFonts w:ascii="Calibri" w:eastAsia="Times New Roman" w:hAnsi="Calibri" w:cs="Calibri"/>
                <w:color w:val="000000"/>
              </w:rPr>
              <w:t>,</w:t>
            </w:r>
            <w:r w:rsidRPr="00633E0A">
              <w:rPr>
                <w:rFonts w:ascii="Calibri" w:eastAsia="Times New Roman" w:hAnsi="Calibri" w:cs="Calibri"/>
                <w:color w:val="000000"/>
              </w:rPr>
              <w:t>718</w:t>
            </w:r>
            <w:r w:rsidR="00BE0A30">
              <w:rPr>
                <w:rFonts w:ascii="Calibri" w:eastAsia="Times New Roman" w:hAnsi="Calibri" w:cs="Calibri"/>
                <w:color w:val="000000"/>
              </w:rPr>
              <w:t>,</w:t>
            </w:r>
            <w:r w:rsidRPr="00633E0A">
              <w:rPr>
                <w:rFonts w:ascii="Calibri" w:eastAsia="Times New Roman" w:hAnsi="Calibri" w:cs="Calibri"/>
                <w:color w:val="000000"/>
              </w:rPr>
              <w:t>644</w:t>
            </w:r>
          </w:p>
        </w:tc>
        <w:tc>
          <w:tcPr>
            <w:tcW w:w="1418"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-182</w:t>
            </w:r>
            <w:r w:rsidR="00BE0A30">
              <w:rPr>
                <w:rFonts w:ascii="Calibri" w:eastAsia="Times New Roman" w:hAnsi="Calibri" w:cs="Calibri"/>
                <w:color w:val="000000"/>
              </w:rPr>
              <w:t>,</w:t>
            </w:r>
            <w:r w:rsidRPr="00633E0A">
              <w:rPr>
                <w:rFonts w:ascii="Calibri" w:eastAsia="Times New Roman" w:hAnsi="Calibri" w:cs="Calibri"/>
                <w:color w:val="000000"/>
              </w:rPr>
              <w:t>279</w:t>
            </w:r>
            <w:r w:rsidR="00BE0A30">
              <w:rPr>
                <w:rFonts w:ascii="Calibri" w:eastAsia="Times New Roman" w:hAnsi="Calibri" w:cs="Calibri"/>
                <w:color w:val="000000"/>
              </w:rPr>
              <w:t>,</w:t>
            </w:r>
            <w:r w:rsidRPr="00633E0A">
              <w:rPr>
                <w:rFonts w:ascii="Calibri" w:eastAsia="Times New Roman" w:hAnsi="Calibri" w:cs="Calibri"/>
                <w:color w:val="000000"/>
              </w:rPr>
              <w:t>136</w:t>
            </w:r>
          </w:p>
        </w:tc>
      </w:tr>
      <w:tr w:rsidR="005E47B9" w:rsidRPr="00633E0A" w:rsidTr="00B31A25">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55</w:t>
            </w:r>
          </w:p>
        </w:tc>
        <w:tc>
          <w:tcPr>
            <w:tcW w:w="170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-664</w:t>
            </w:r>
            <w:r w:rsidR="00BE0A30">
              <w:rPr>
                <w:rFonts w:ascii="Calibri" w:eastAsia="Times New Roman" w:hAnsi="Calibri" w:cs="Calibri"/>
                <w:color w:val="000000"/>
              </w:rPr>
              <w:t>,</w:t>
            </w:r>
            <w:r w:rsidRPr="00633E0A">
              <w:rPr>
                <w:rFonts w:ascii="Calibri" w:eastAsia="Times New Roman" w:hAnsi="Calibri" w:cs="Calibri"/>
                <w:color w:val="000000"/>
              </w:rPr>
              <w:t>508</w:t>
            </w:r>
            <w:r w:rsidR="00BE0A30">
              <w:rPr>
                <w:rFonts w:ascii="Calibri" w:eastAsia="Times New Roman" w:hAnsi="Calibri" w:cs="Calibri"/>
                <w:color w:val="000000"/>
              </w:rPr>
              <w:t>,</w:t>
            </w:r>
            <w:r w:rsidRPr="00633E0A">
              <w:rPr>
                <w:rFonts w:ascii="Calibri" w:eastAsia="Times New Roman" w:hAnsi="Calibri" w:cs="Calibri"/>
                <w:color w:val="000000"/>
              </w:rPr>
              <w:t>381</w:t>
            </w:r>
          </w:p>
        </w:tc>
        <w:tc>
          <w:tcPr>
            <w:tcW w:w="1417"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-256</w:t>
            </w:r>
            <w:r w:rsidR="00BE0A30">
              <w:rPr>
                <w:rFonts w:ascii="Calibri" w:eastAsia="Times New Roman" w:hAnsi="Calibri" w:cs="Calibri"/>
                <w:color w:val="000000"/>
              </w:rPr>
              <w:t>,</w:t>
            </w:r>
            <w:r w:rsidRPr="00633E0A">
              <w:rPr>
                <w:rFonts w:ascii="Calibri" w:eastAsia="Times New Roman" w:hAnsi="Calibri" w:cs="Calibri"/>
                <w:color w:val="000000"/>
              </w:rPr>
              <w:t>879</w:t>
            </w:r>
            <w:r w:rsidR="00BE0A30">
              <w:rPr>
                <w:rFonts w:ascii="Calibri" w:eastAsia="Times New Roman" w:hAnsi="Calibri" w:cs="Calibri"/>
                <w:color w:val="000000"/>
              </w:rPr>
              <w:t>,</w:t>
            </w:r>
            <w:r w:rsidRPr="00633E0A">
              <w:rPr>
                <w:rFonts w:ascii="Calibri" w:eastAsia="Times New Roman" w:hAnsi="Calibri" w:cs="Calibri"/>
                <w:color w:val="000000"/>
              </w:rPr>
              <w:t>401</w:t>
            </w:r>
          </w:p>
        </w:tc>
        <w:tc>
          <w:tcPr>
            <w:tcW w:w="912"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296"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88</w:t>
            </w:r>
            <w:r w:rsidR="00BE0A30">
              <w:rPr>
                <w:rFonts w:ascii="Calibri" w:eastAsia="Times New Roman" w:hAnsi="Calibri" w:cs="Calibri"/>
                <w:color w:val="000000"/>
              </w:rPr>
              <w:t>,</w:t>
            </w:r>
            <w:r w:rsidRPr="00633E0A">
              <w:rPr>
                <w:rFonts w:ascii="Calibri" w:eastAsia="Times New Roman" w:hAnsi="Calibri" w:cs="Calibri"/>
                <w:color w:val="000000"/>
              </w:rPr>
              <w:t>104</w:t>
            </w:r>
            <w:r w:rsidR="00BE0A30">
              <w:rPr>
                <w:rFonts w:ascii="Calibri" w:eastAsia="Times New Roman" w:hAnsi="Calibri" w:cs="Calibri"/>
                <w:color w:val="000000"/>
              </w:rPr>
              <w:t>,</w:t>
            </w:r>
            <w:r w:rsidRPr="00633E0A">
              <w:rPr>
                <w:rFonts w:ascii="Calibri" w:eastAsia="Times New Roman" w:hAnsi="Calibri" w:cs="Calibri"/>
                <w:color w:val="000000"/>
              </w:rPr>
              <w:t>514</w:t>
            </w:r>
          </w:p>
        </w:tc>
        <w:tc>
          <w:tcPr>
            <w:tcW w:w="911"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0</w:t>
            </w:r>
          </w:p>
        </w:tc>
        <w:tc>
          <w:tcPr>
            <w:tcW w:w="1559"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-263</w:t>
            </w:r>
            <w:r w:rsidR="00BE0A30">
              <w:rPr>
                <w:rFonts w:ascii="Calibri" w:eastAsia="Times New Roman" w:hAnsi="Calibri" w:cs="Calibri"/>
                <w:color w:val="000000"/>
              </w:rPr>
              <w:t>,</w:t>
            </w:r>
            <w:r w:rsidRPr="00633E0A">
              <w:rPr>
                <w:rFonts w:ascii="Calibri" w:eastAsia="Times New Roman" w:hAnsi="Calibri" w:cs="Calibri"/>
                <w:color w:val="000000"/>
              </w:rPr>
              <w:t>794</w:t>
            </w:r>
            <w:r w:rsidR="00BE0A30">
              <w:rPr>
                <w:rFonts w:ascii="Calibri" w:eastAsia="Times New Roman" w:hAnsi="Calibri" w:cs="Calibri"/>
                <w:color w:val="000000"/>
              </w:rPr>
              <w:t>,</w:t>
            </w:r>
            <w:r w:rsidRPr="00633E0A">
              <w:rPr>
                <w:rFonts w:ascii="Calibri" w:eastAsia="Times New Roman" w:hAnsi="Calibri" w:cs="Calibri"/>
                <w:color w:val="000000"/>
              </w:rPr>
              <w:t>107</w:t>
            </w:r>
          </w:p>
        </w:tc>
        <w:tc>
          <w:tcPr>
            <w:tcW w:w="1418" w:type="dxa"/>
            <w:tcBorders>
              <w:top w:val="nil"/>
              <w:left w:val="nil"/>
              <w:bottom w:val="single" w:sz="4" w:space="0" w:color="auto"/>
              <w:right w:val="single" w:sz="4" w:space="0" w:color="auto"/>
            </w:tcBorders>
            <w:shd w:val="clear" w:color="auto" w:fill="auto"/>
            <w:noWrap/>
            <w:vAlign w:val="bottom"/>
            <w:hideMark/>
          </w:tcPr>
          <w:p w:rsidR="005E47B9" w:rsidRPr="00633E0A" w:rsidRDefault="005E47B9" w:rsidP="005E47B9">
            <w:pPr>
              <w:spacing w:after="0" w:line="240" w:lineRule="auto"/>
              <w:jc w:val="right"/>
              <w:rPr>
                <w:rFonts w:ascii="Calibri" w:eastAsia="Times New Roman" w:hAnsi="Calibri" w:cs="Calibri"/>
                <w:color w:val="000000"/>
              </w:rPr>
            </w:pPr>
            <w:r w:rsidRPr="00633E0A">
              <w:rPr>
                <w:rFonts w:ascii="Calibri" w:eastAsia="Times New Roman" w:hAnsi="Calibri" w:cs="Calibri"/>
                <w:color w:val="000000"/>
              </w:rPr>
              <w:t>-696</w:t>
            </w:r>
            <w:r w:rsidR="00BE0A30">
              <w:rPr>
                <w:rFonts w:ascii="Calibri" w:eastAsia="Times New Roman" w:hAnsi="Calibri" w:cs="Calibri"/>
                <w:color w:val="000000"/>
              </w:rPr>
              <w:t>,</w:t>
            </w:r>
            <w:r w:rsidRPr="00633E0A">
              <w:rPr>
                <w:rFonts w:ascii="Calibri" w:eastAsia="Times New Roman" w:hAnsi="Calibri" w:cs="Calibri"/>
                <w:color w:val="000000"/>
              </w:rPr>
              <w:t>816</w:t>
            </w:r>
            <w:r w:rsidR="00BE0A30">
              <w:rPr>
                <w:rFonts w:ascii="Calibri" w:eastAsia="Times New Roman" w:hAnsi="Calibri" w:cs="Calibri"/>
                <w:color w:val="000000"/>
              </w:rPr>
              <w:t>,</w:t>
            </w:r>
            <w:r w:rsidRPr="00633E0A">
              <w:rPr>
                <w:rFonts w:ascii="Calibri" w:eastAsia="Times New Roman" w:hAnsi="Calibri" w:cs="Calibri"/>
                <w:color w:val="000000"/>
              </w:rPr>
              <w:t>137</w:t>
            </w:r>
          </w:p>
        </w:tc>
      </w:tr>
    </w:tbl>
    <w:p w:rsidR="005E47B9" w:rsidRPr="00AF643E" w:rsidRDefault="005E47B9" w:rsidP="005E47B9">
      <w:pPr>
        <w:spacing w:line="360" w:lineRule="auto"/>
        <w:jc w:val="both"/>
        <w:rPr>
          <w:rFonts w:asciiTheme="majorHAnsi" w:hAnsiTheme="majorHAnsi" w:cs="URWPalladioL-Roma"/>
          <w:sz w:val="24"/>
          <w:szCs w:val="24"/>
        </w:rPr>
      </w:pPr>
    </w:p>
    <w:p w:rsidR="005E47B9"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 xml:space="preserve">Table </w:t>
      </w:r>
      <w:r w:rsidR="00B31A25">
        <w:rPr>
          <w:rFonts w:asciiTheme="majorHAnsi" w:hAnsiTheme="majorHAnsi" w:cs="URWPalladioL-Roma"/>
          <w:sz w:val="24"/>
          <w:szCs w:val="24"/>
        </w:rPr>
        <w:t xml:space="preserve">6 </w:t>
      </w:r>
      <w:r w:rsidRPr="00AF643E">
        <w:rPr>
          <w:rFonts w:asciiTheme="majorHAnsi" w:hAnsiTheme="majorHAnsi" w:cs="URWPalladioL-Roma"/>
          <w:sz w:val="24"/>
          <w:szCs w:val="24"/>
        </w:rPr>
        <w:t xml:space="preserve">above shows that losses are incurred if actual longevity improvements are below those priced for or above those hedged for, as was seen on the graph. It </w:t>
      </w:r>
      <w:r w:rsidR="00F159BC">
        <w:rPr>
          <w:rFonts w:asciiTheme="majorHAnsi" w:hAnsiTheme="majorHAnsi" w:cs="URWPalladioL-Roma"/>
          <w:sz w:val="24"/>
          <w:szCs w:val="24"/>
        </w:rPr>
        <w:t>is clear</w:t>
      </w:r>
      <w:r w:rsidRPr="00AF643E">
        <w:rPr>
          <w:rFonts w:asciiTheme="majorHAnsi" w:hAnsiTheme="majorHAnsi" w:cs="URWPalladioL-Roma"/>
          <w:sz w:val="24"/>
          <w:szCs w:val="24"/>
        </w:rPr>
        <w:t xml:space="preserve"> that the cash-flows for shorter terms are a great deal less than those for longer terms. The possible losses incurred when hedging for longer terms, such as terms longer than 20 years, may be too large for these terms to be a feasible option for smaller insurers.</w:t>
      </w:r>
      <w:r w:rsidR="00F159BC">
        <w:rPr>
          <w:rFonts w:asciiTheme="majorHAnsi" w:hAnsiTheme="majorHAnsi" w:cs="URWPalladioL-Roma"/>
          <w:sz w:val="24"/>
          <w:szCs w:val="24"/>
        </w:rPr>
        <w:t xml:space="preserve">  Not hedging at all has the same risk.</w:t>
      </w:r>
    </w:p>
    <w:p w:rsidR="004618AB" w:rsidRDefault="005E47B9" w:rsidP="00B31A25">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lastRenderedPageBreak/>
        <w:t xml:space="preserve">An important consideration may be the cost implications relating to the term of the hedge. The cost of acquiring the amount of assurances needed for the hedge for a specific term may outweigh the benefits of that hedge. The table below shows the assurances needed for the hedges for various terms and ages of policyholders with assurances. The annuitants are aged 65 in all columns. </w:t>
      </w:r>
    </w:p>
    <w:p w:rsidR="005E47B9" w:rsidRPr="00AF643E" w:rsidRDefault="005E47B9" w:rsidP="005E47B9">
      <w:pPr>
        <w:spacing w:line="360" w:lineRule="auto"/>
        <w:jc w:val="both"/>
        <w:rPr>
          <w:rFonts w:asciiTheme="majorHAnsi" w:hAnsiTheme="majorHAnsi" w:cs="URWPalladioL-Roma"/>
          <w:sz w:val="24"/>
          <w:szCs w:val="24"/>
        </w:rPr>
      </w:pPr>
    </w:p>
    <w:tbl>
      <w:tblPr>
        <w:tblW w:w="7460" w:type="dxa"/>
        <w:jc w:val="center"/>
        <w:tblInd w:w="96" w:type="dxa"/>
        <w:tblLayout w:type="fixed"/>
        <w:tblLook w:val="04A0" w:firstRow="1" w:lastRow="0" w:firstColumn="1" w:lastColumn="0" w:noHBand="0" w:noVBand="1"/>
      </w:tblPr>
      <w:tblGrid>
        <w:gridCol w:w="1492"/>
        <w:gridCol w:w="1492"/>
        <w:gridCol w:w="1492"/>
        <w:gridCol w:w="1492"/>
        <w:gridCol w:w="1492"/>
      </w:tblGrid>
      <w:tr w:rsidR="005E47B9" w:rsidRPr="00AF643E" w:rsidTr="005E47B9">
        <w:trPr>
          <w:trHeight w:val="300"/>
          <w:jc w:val="center"/>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 </w:t>
            </w:r>
          </w:p>
        </w:tc>
        <w:tc>
          <w:tcPr>
            <w:tcW w:w="596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Assurances required</w:t>
            </w:r>
            <w:r w:rsidR="00B31A25">
              <w:rPr>
                <w:rFonts w:asciiTheme="majorHAnsi" w:hAnsiTheme="majorHAnsi" w:cs="URWPalladioL-Roma"/>
                <w:sz w:val="24"/>
                <w:szCs w:val="24"/>
              </w:rPr>
              <w:t xml:space="preserve"> per 1 annuitant of age 65</w:t>
            </w:r>
          </w:p>
        </w:tc>
      </w:tr>
      <w:tr w:rsidR="005E47B9" w:rsidRPr="00AF643E" w:rsidTr="005E47B9">
        <w:trPr>
          <w:trHeight w:val="300"/>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rPr>
                <w:rFonts w:asciiTheme="majorHAnsi" w:hAnsiTheme="majorHAnsi" w:cs="URWPalladioL-Roma"/>
                <w:sz w:val="24"/>
                <w:szCs w:val="24"/>
              </w:rPr>
            </w:pPr>
            <w:r w:rsidRPr="00AF643E">
              <w:rPr>
                <w:rFonts w:asciiTheme="majorHAnsi" w:hAnsiTheme="majorHAnsi" w:cs="URWPalladioL-Roma"/>
                <w:sz w:val="24"/>
                <w:szCs w:val="24"/>
              </w:rPr>
              <w:t>Term in years</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Age 25</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Age 35</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Age 45</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Age 55</w:t>
            </w:r>
          </w:p>
        </w:tc>
      </w:tr>
      <w:tr w:rsidR="005E47B9" w:rsidRPr="00AF643E" w:rsidTr="005E47B9">
        <w:trPr>
          <w:trHeight w:val="300"/>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2</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12.7073</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2.2244</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0.7763</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0.3694</w:t>
            </w:r>
          </w:p>
        </w:tc>
      </w:tr>
      <w:tr w:rsidR="005E47B9" w:rsidRPr="00AF643E" w:rsidTr="005E47B9">
        <w:trPr>
          <w:trHeight w:val="300"/>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3</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26.6163</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5.5311</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1.9572</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0.9474</w:t>
            </w:r>
          </w:p>
        </w:tc>
      </w:tr>
      <w:tr w:rsidR="005E47B9" w:rsidRPr="00AF643E" w:rsidTr="005E47B9">
        <w:trPr>
          <w:trHeight w:val="300"/>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4</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41.5279</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9.6527</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3.4675</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1.7077</w:t>
            </w:r>
          </w:p>
        </w:tc>
      </w:tr>
      <w:tr w:rsidR="005E47B9" w:rsidRPr="00AF643E" w:rsidTr="005E47B9">
        <w:trPr>
          <w:trHeight w:val="300"/>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5</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57.1470</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14.3463</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5.2386</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2.6257</w:t>
            </w:r>
          </w:p>
        </w:tc>
      </w:tr>
      <w:tr w:rsidR="005E47B9" w:rsidRPr="00AF643E" w:rsidTr="005E47B9">
        <w:trPr>
          <w:trHeight w:val="300"/>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10</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132.9090</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39.8655</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16.0030</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8.7777</w:t>
            </w:r>
          </w:p>
        </w:tc>
      </w:tr>
      <w:tr w:rsidR="005E47B9" w:rsidRPr="00AF643E" w:rsidTr="005E47B9">
        <w:trPr>
          <w:trHeight w:val="300"/>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15</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175.2038</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58.2888</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25.9977</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15.6785</w:t>
            </w:r>
          </w:p>
        </w:tc>
      </w:tr>
      <w:tr w:rsidR="005E47B9" w:rsidRPr="00AF643E" w:rsidTr="005E47B9">
        <w:trPr>
          <w:trHeight w:val="300"/>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20</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172.9677</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64.4059</w:t>
            </w:r>
          </w:p>
        </w:tc>
        <w:tc>
          <w:tcPr>
            <w:tcW w:w="1492" w:type="dxa"/>
            <w:tcBorders>
              <w:top w:val="nil"/>
              <w:left w:val="nil"/>
              <w:bottom w:val="nil"/>
              <w:right w:val="nil"/>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31.9715</w:t>
            </w:r>
          </w:p>
        </w:tc>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21.3641</w:t>
            </w:r>
          </w:p>
        </w:tc>
      </w:tr>
      <w:tr w:rsidR="005E47B9" w:rsidRPr="00AF643E" w:rsidTr="005E47B9">
        <w:trPr>
          <w:trHeight w:val="300"/>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25</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143.6045</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60.2385</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33.2897</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24.9484</w:t>
            </w:r>
          </w:p>
        </w:tc>
      </w:tr>
      <w:tr w:rsidR="005E47B9" w:rsidRPr="00AF643E" w:rsidTr="005E47B9">
        <w:trPr>
          <w:trHeight w:val="300"/>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55</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27.7738</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24.2982</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26.8835</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33.9814</w:t>
            </w:r>
          </w:p>
        </w:tc>
      </w:tr>
      <w:tr w:rsidR="005E47B9" w:rsidRPr="00AF643E" w:rsidTr="005E47B9">
        <w:trPr>
          <w:trHeight w:val="300"/>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Whole life</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27.3120</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27.7920</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29.5216</w:t>
            </w:r>
          </w:p>
        </w:tc>
        <w:tc>
          <w:tcPr>
            <w:tcW w:w="1492"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F159BC">
            <w:pPr>
              <w:spacing w:after="0" w:line="360" w:lineRule="auto"/>
              <w:jc w:val="right"/>
              <w:rPr>
                <w:rFonts w:asciiTheme="majorHAnsi" w:hAnsiTheme="majorHAnsi" w:cs="URWPalladioL-Roma"/>
                <w:sz w:val="24"/>
                <w:szCs w:val="24"/>
              </w:rPr>
            </w:pPr>
            <w:r w:rsidRPr="00AF643E">
              <w:rPr>
                <w:rFonts w:asciiTheme="majorHAnsi" w:hAnsiTheme="majorHAnsi" w:cs="URWPalladioL-Roma"/>
                <w:sz w:val="24"/>
                <w:szCs w:val="24"/>
              </w:rPr>
              <w:t>34.9381</w:t>
            </w:r>
          </w:p>
        </w:tc>
      </w:tr>
    </w:tbl>
    <w:p w:rsidR="005E47B9" w:rsidRPr="00AF643E" w:rsidRDefault="005E47B9" w:rsidP="005E47B9">
      <w:pPr>
        <w:spacing w:line="360" w:lineRule="auto"/>
        <w:jc w:val="both"/>
        <w:rPr>
          <w:rFonts w:asciiTheme="majorHAnsi" w:hAnsiTheme="majorHAnsi" w:cs="URWPalladioL-Roma"/>
          <w:sz w:val="24"/>
          <w:szCs w:val="24"/>
        </w:rPr>
      </w:pPr>
    </w:p>
    <w:p w:rsidR="005E47B9" w:rsidRPr="00AF643E"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As can be seen, in the second column, the assurances required increase steadily as term increases up until 15 years. After 17 years, the assurances required decrease as term increases, but the rate of this decrease is not as large as the rate of the initial increases. The cost of attaining the required amount of assurances for longer terms may be high and as a result the insurer would need to find the perfect cost/hedge benefit within its own limits.</w:t>
      </w:r>
    </w:p>
    <w:p w:rsidR="005E47B9" w:rsidRPr="00AF643E"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 xml:space="preserve">The graph below gives us a graphical representation of the table above.  It is clear from the graph that the hedge will be much more stable when older ages are used in the </w:t>
      </w:r>
      <w:r>
        <w:rPr>
          <w:rFonts w:asciiTheme="majorHAnsi" w:hAnsiTheme="majorHAnsi" w:cs="URWPalladioL-Roma"/>
          <w:sz w:val="24"/>
          <w:szCs w:val="24"/>
        </w:rPr>
        <w:t>L</w:t>
      </w:r>
      <w:r w:rsidRPr="00AF643E">
        <w:rPr>
          <w:rFonts w:asciiTheme="majorHAnsi" w:hAnsiTheme="majorHAnsi" w:cs="URWPalladioL-Roma"/>
          <w:sz w:val="24"/>
          <w:szCs w:val="24"/>
        </w:rPr>
        <w:t xml:space="preserve">HR. This is </w:t>
      </w:r>
      <w:r w:rsidRPr="00AF643E">
        <w:rPr>
          <w:rFonts w:asciiTheme="majorHAnsi" w:hAnsiTheme="majorHAnsi" w:cs="URWPalladioL-Roma"/>
          <w:sz w:val="24"/>
          <w:szCs w:val="24"/>
        </w:rPr>
        <w:lastRenderedPageBreak/>
        <w:t>a useful aspect as the average age of assurance portfolios is usually much larger than age 25.</w:t>
      </w:r>
    </w:p>
    <w:p w:rsidR="005E47B9" w:rsidRPr="00B31A25" w:rsidRDefault="00B31A25" w:rsidP="00B31A25">
      <w:pPr>
        <w:pStyle w:val="Caption"/>
        <w:rPr>
          <w:sz w:val="22"/>
          <w:szCs w:val="22"/>
        </w:rPr>
      </w:pPr>
      <w:r w:rsidRPr="00B31A25">
        <w:rPr>
          <w:sz w:val="22"/>
          <w:szCs w:val="22"/>
        </w:rPr>
        <w:t xml:space="preserve">Table </w:t>
      </w:r>
      <w:r w:rsidRPr="00B31A25">
        <w:rPr>
          <w:sz w:val="22"/>
          <w:szCs w:val="22"/>
        </w:rPr>
        <w:fldChar w:fldCharType="begin"/>
      </w:r>
      <w:r w:rsidRPr="00B31A25">
        <w:rPr>
          <w:sz w:val="22"/>
          <w:szCs w:val="22"/>
        </w:rPr>
        <w:instrText xml:space="preserve"> SEQ Table \* ARABIC </w:instrText>
      </w:r>
      <w:r w:rsidRPr="00B31A25">
        <w:rPr>
          <w:sz w:val="22"/>
          <w:szCs w:val="22"/>
        </w:rPr>
        <w:fldChar w:fldCharType="separate"/>
      </w:r>
      <w:r w:rsidR="002B2B63">
        <w:rPr>
          <w:noProof/>
          <w:sz w:val="22"/>
          <w:szCs w:val="22"/>
        </w:rPr>
        <w:t>7</w:t>
      </w:r>
      <w:r w:rsidRPr="00B31A25">
        <w:rPr>
          <w:sz w:val="22"/>
          <w:szCs w:val="22"/>
        </w:rPr>
        <w:fldChar w:fldCharType="end"/>
      </w:r>
      <w:r w:rsidRPr="00B31A25">
        <w:rPr>
          <w:sz w:val="22"/>
          <w:szCs w:val="22"/>
        </w:rPr>
        <w:t xml:space="preserve"> - Assurances required for the hedges of various terms at various ages</w:t>
      </w:r>
    </w:p>
    <w:p w:rsidR="005E47B9" w:rsidRDefault="005E47B9" w:rsidP="005E47B9">
      <w:pPr>
        <w:spacing w:line="360" w:lineRule="auto"/>
        <w:jc w:val="both"/>
      </w:pPr>
      <w:r w:rsidRPr="007F6939">
        <w:rPr>
          <w:noProof/>
          <w:lang w:val="en-ZA" w:eastAsia="en-ZA"/>
        </w:rPr>
        <w:drawing>
          <wp:inline distT="0" distB="0" distL="0" distR="0" wp14:anchorId="3670F087" wp14:editId="25C82E8E">
            <wp:extent cx="5630487" cy="2693323"/>
            <wp:effectExtent l="19050" t="0" r="27363"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E47B9" w:rsidRDefault="005E47B9" w:rsidP="005E47B9">
      <w:pPr>
        <w:autoSpaceDE w:val="0"/>
        <w:autoSpaceDN w:val="0"/>
        <w:adjustRightInd w:val="0"/>
        <w:spacing w:after="0" w:line="360" w:lineRule="auto"/>
        <w:jc w:val="both"/>
        <w:rPr>
          <w:rFonts w:asciiTheme="majorHAnsi" w:hAnsiTheme="majorHAnsi" w:cs="URWPalladioL-Roma"/>
          <w:sz w:val="24"/>
          <w:szCs w:val="24"/>
        </w:rPr>
      </w:pPr>
    </w:p>
    <w:p w:rsidR="005E47B9" w:rsidRPr="00A76D7C" w:rsidRDefault="005E47B9" w:rsidP="005E47B9">
      <w:pPr>
        <w:autoSpaceDE w:val="0"/>
        <w:autoSpaceDN w:val="0"/>
        <w:adjustRightInd w:val="0"/>
        <w:spacing w:after="0" w:line="360" w:lineRule="auto"/>
        <w:jc w:val="both"/>
        <w:rPr>
          <w:rFonts w:asciiTheme="majorHAnsi" w:hAnsiTheme="majorHAnsi" w:cs="URWPalladioL-Roma"/>
          <w:sz w:val="24"/>
          <w:szCs w:val="24"/>
        </w:rPr>
      </w:pPr>
      <w:r>
        <w:rPr>
          <w:rFonts w:asciiTheme="majorHAnsi" w:hAnsiTheme="majorHAnsi" w:cs="URWPalladioL-Roma"/>
          <w:sz w:val="24"/>
          <w:szCs w:val="24"/>
        </w:rPr>
        <w:t xml:space="preserve">Since no portfolio of assurances or annuities is static, more frequent hedging will be required.  Generally annuity portfolios only change by means of new entrants and deaths.  Assurance portfolios are much </w:t>
      </w:r>
      <w:r w:rsidR="00B31A25">
        <w:rPr>
          <w:rFonts w:asciiTheme="majorHAnsi" w:hAnsiTheme="majorHAnsi" w:cs="URWPalladioL-Roma"/>
          <w:sz w:val="24"/>
          <w:szCs w:val="24"/>
        </w:rPr>
        <w:t>more volatile</w:t>
      </w:r>
      <w:r>
        <w:rPr>
          <w:rFonts w:asciiTheme="majorHAnsi" w:hAnsiTheme="majorHAnsi" w:cs="URWPalladioL-Roma"/>
          <w:sz w:val="24"/>
          <w:szCs w:val="24"/>
        </w:rPr>
        <w:t xml:space="preserve"> with lapses, lapse and re-entry, new entrants and deaths.  Assurance premiums may even be adjusted regularly for existing policyholders to counter lapses.  This change in internal mortality used on existing policyholders will of course change the LHR and require a rebalance of the hedge.  A change in interest rate will also have a small effect, but for the small time period considered it is almost negligible. </w:t>
      </w:r>
    </w:p>
    <w:p w:rsidR="005E47B9" w:rsidRDefault="005E47B9" w:rsidP="005E47B9">
      <w:pPr>
        <w:autoSpaceDE w:val="0"/>
        <w:autoSpaceDN w:val="0"/>
        <w:adjustRightInd w:val="0"/>
        <w:spacing w:after="0" w:line="360" w:lineRule="auto"/>
        <w:jc w:val="both"/>
        <w:rPr>
          <w:rFonts w:asciiTheme="majorHAnsi" w:hAnsiTheme="majorHAnsi" w:cs="URWPalladioL-Roma"/>
          <w:sz w:val="24"/>
          <w:szCs w:val="24"/>
        </w:rPr>
      </w:pPr>
    </w:p>
    <w:p w:rsidR="00B31A25" w:rsidRDefault="00B31A25" w:rsidP="005E47B9">
      <w:pPr>
        <w:autoSpaceDE w:val="0"/>
        <w:autoSpaceDN w:val="0"/>
        <w:adjustRightInd w:val="0"/>
        <w:spacing w:after="0" w:line="360" w:lineRule="auto"/>
        <w:jc w:val="both"/>
        <w:rPr>
          <w:rFonts w:asciiTheme="majorHAnsi" w:hAnsiTheme="majorHAnsi" w:cs="URWPalladioL-Roma"/>
          <w:sz w:val="24"/>
          <w:szCs w:val="24"/>
        </w:rPr>
      </w:pPr>
      <w:r>
        <w:rPr>
          <w:rFonts w:asciiTheme="majorHAnsi" w:hAnsiTheme="majorHAnsi" w:cs="URWPalladioL-Roma"/>
          <w:sz w:val="24"/>
          <w:szCs w:val="24"/>
        </w:rPr>
        <w:t xml:space="preserve">The above hedge for a specific term of say 5 </w:t>
      </w:r>
      <w:proofErr w:type="gramStart"/>
      <w:r>
        <w:rPr>
          <w:rFonts w:asciiTheme="majorHAnsi" w:hAnsiTheme="majorHAnsi" w:cs="URWPalladioL-Roma"/>
          <w:sz w:val="24"/>
          <w:szCs w:val="24"/>
        </w:rPr>
        <w:t>years,</w:t>
      </w:r>
      <w:proofErr w:type="gramEnd"/>
      <w:r>
        <w:rPr>
          <w:rFonts w:asciiTheme="majorHAnsi" w:hAnsiTheme="majorHAnsi" w:cs="URWPalladioL-Roma"/>
          <w:sz w:val="24"/>
          <w:szCs w:val="24"/>
        </w:rPr>
        <w:t xml:space="preserve"> will of course mean that before or after the five years the hedge will not be exact. With this strategy the movement of the LHR is anticipated over time and the required hedge set up to be exact not at present but at some point in future.</w:t>
      </w:r>
    </w:p>
    <w:p w:rsidR="00B31A25" w:rsidRDefault="00B31A25" w:rsidP="005E47B9">
      <w:pPr>
        <w:autoSpaceDE w:val="0"/>
        <w:autoSpaceDN w:val="0"/>
        <w:adjustRightInd w:val="0"/>
        <w:spacing w:after="0" w:line="360" w:lineRule="auto"/>
        <w:jc w:val="both"/>
        <w:rPr>
          <w:rFonts w:asciiTheme="majorHAnsi" w:hAnsiTheme="majorHAnsi" w:cs="URWPalladioL-Roma"/>
          <w:sz w:val="24"/>
          <w:szCs w:val="24"/>
        </w:rPr>
      </w:pPr>
    </w:p>
    <w:p w:rsidR="00B31A25" w:rsidRDefault="00B31A25" w:rsidP="005E47B9">
      <w:pPr>
        <w:autoSpaceDE w:val="0"/>
        <w:autoSpaceDN w:val="0"/>
        <w:adjustRightInd w:val="0"/>
        <w:spacing w:after="0" w:line="360" w:lineRule="auto"/>
        <w:jc w:val="both"/>
        <w:rPr>
          <w:rFonts w:asciiTheme="majorHAnsi" w:hAnsiTheme="majorHAnsi" w:cs="URWPalladioL-Roma"/>
          <w:sz w:val="24"/>
          <w:szCs w:val="24"/>
        </w:rPr>
      </w:pPr>
    </w:p>
    <w:p w:rsidR="005E47B9" w:rsidRDefault="001C1AA2" w:rsidP="004618AB">
      <w:pPr>
        <w:pStyle w:val="Heading2"/>
        <w:spacing w:line="360" w:lineRule="auto"/>
        <w:jc w:val="both"/>
      </w:pPr>
      <w:bookmarkStart w:id="25" w:name="_Toc312148285"/>
      <w:bookmarkStart w:id="26" w:name="_Toc312252642"/>
      <w:bookmarkStart w:id="27" w:name="_Toc374709722"/>
      <w:r>
        <w:lastRenderedPageBreak/>
        <w:t>4.</w:t>
      </w:r>
      <w:r w:rsidR="006D3E21">
        <w:t>4</w:t>
      </w:r>
      <w:r>
        <w:t xml:space="preserve"> </w:t>
      </w:r>
      <w:r w:rsidR="005E47B9">
        <w:t>Hedging for different spreads of improvement</w:t>
      </w:r>
      <w:bookmarkEnd w:id="25"/>
      <w:bookmarkEnd w:id="26"/>
      <w:bookmarkEnd w:id="27"/>
    </w:p>
    <w:p w:rsidR="005E47B9" w:rsidRPr="00AF643E"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 xml:space="preserve">Consider annuities and assurances priced for a 1% improvement.  If we then hedge for further improvements in steps of 0.5% each, using a term of 5 years, the cash-flows will </w:t>
      </w:r>
      <w:r>
        <w:rPr>
          <w:rFonts w:asciiTheme="majorHAnsi" w:hAnsiTheme="majorHAnsi" w:cs="URWPalladioL-Roma"/>
          <w:sz w:val="24"/>
          <w:szCs w:val="24"/>
        </w:rPr>
        <w:t>be</w:t>
      </w:r>
      <w:r w:rsidRPr="00AF643E">
        <w:rPr>
          <w:rFonts w:asciiTheme="majorHAnsi" w:hAnsiTheme="majorHAnsi" w:cs="URWPalladioL-Roma"/>
          <w:sz w:val="24"/>
          <w:szCs w:val="24"/>
        </w:rPr>
        <w:t xml:space="preserve"> as follows:</w:t>
      </w:r>
    </w:p>
    <w:p w:rsidR="005E47B9" w:rsidRPr="00B31A25" w:rsidRDefault="00B31A25" w:rsidP="00B31A25">
      <w:pPr>
        <w:pStyle w:val="Caption"/>
        <w:rPr>
          <w:rFonts w:asciiTheme="majorHAnsi" w:hAnsiTheme="majorHAnsi" w:cs="URWPalladioL-Roma"/>
          <w:sz w:val="22"/>
          <w:szCs w:val="22"/>
        </w:rPr>
      </w:pPr>
      <w:r w:rsidRPr="00B31A25">
        <w:rPr>
          <w:sz w:val="22"/>
          <w:szCs w:val="22"/>
        </w:rPr>
        <w:t xml:space="preserve">Figure </w:t>
      </w:r>
      <w:r w:rsidRPr="00B31A25">
        <w:rPr>
          <w:sz w:val="22"/>
          <w:szCs w:val="22"/>
        </w:rPr>
        <w:fldChar w:fldCharType="begin"/>
      </w:r>
      <w:r w:rsidRPr="00B31A25">
        <w:rPr>
          <w:sz w:val="22"/>
          <w:szCs w:val="22"/>
        </w:rPr>
        <w:instrText xml:space="preserve"> SEQ Figure \* ARABIC </w:instrText>
      </w:r>
      <w:r w:rsidRPr="00B31A25">
        <w:rPr>
          <w:sz w:val="22"/>
          <w:szCs w:val="22"/>
        </w:rPr>
        <w:fldChar w:fldCharType="separate"/>
      </w:r>
      <w:r w:rsidR="00765D35">
        <w:rPr>
          <w:noProof/>
          <w:sz w:val="22"/>
          <w:szCs w:val="22"/>
        </w:rPr>
        <w:t>8</w:t>
      </w:r>
      <w:r w:rsidRPr="00B31A25">
        <w:rPr>
          <w:sz w:val="22"/>
          <w:szCs w:val="22"/>
        </w:rPr>
        <w:fldChar w:fldCharType="end"/>
      </w:r>
      <w:r w:rsidRPr="00B31A25">
        <w:rPr>
          <w:sz w:val="22"/>
          <w:szCs w:val="22"/>
        </w:rPr>
        <w:t xml:space="preserve"> - Cash-flows resulting from the hedges for different additional longevity improvements above pricing</w:t>
      </w:r>
    </w:p>
    <w:p w:rsidR="005E47B9" w:rsidRPr="00AF643E" w:rsidRDefault="005E47B9" w:rsidP="005E47B9">
      <w:pPr>
        <w:spacing w:line="360" w:lineRule="auto"/>
        <w:jc w:val="center"/>
        <w:rPr>
          <w:rFonts w:asciiTheme="majorHAnsi" w:hAnsiTheme="majorHAnsi" w:cs="URWPalladioL-Roma"/>
          <w:sz w:val="24"/>
          <w:szCs w:val="24"/>
        </w:rPr>
      </w:pPr>
      <w:r w:rsidRPr="00AF643E">
        <w:rPr>
          <w:rFonts w:asciiTheme="majorHAnsi" w:hAnsiTheme="majorHAnsi" w:cs="URWPalladioL-Roma"/>
          <w:noProof/>
          <w:sz w:val="24"/>
          <w:szCs w:val="24"/>
          <w:lang w:val="en-ZA" w:eastAsia="en-ZA"/>
        </w:rPr>
        <w:drawing>
          <wp:inline distT="0" distB="0" distL="0" distR="0" wp14:anchorId="0BAECA51" wp14:editId="4B9438E7">
            <wp:extent cx="4666904" cy="2685011"/>
            <wp:effectExtent l="19050" t="0" r="19396" b="1039"/>
            <wp:docPr id="3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E47B9" w:rsidRPr="00AF643E" w:rsidRDefault="005E47B9" w:rsidP="005E47B9">
      <w:pPr>
        <w:spacing w:line="360" w:lineRule="auto"/>
        <w:jc w:val="both"/>
        <w:rPr>
          <w:rFonts w:asciiTheme="majorHAnsi" w:hAnsiTheme="majorHAnsi" w:cs="URWPalladioL-Roma"/>
          <w:sz w:val="24"/>
          <w:szCs w:val="24"/>
        </w:rPr>
      </w:pPr>
    </w:p>
    <w:p w:rsidR="005E47B9" w:rsidRPr="00AF643E"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 xml:space="preserve">This graph shows that the choice of the size of the margin may be linked to the risk appetite of the insurance company, and may thus have a significant financial effect. As can be seen above, a small margin, such as 0.5%, does not enable the company to make </w:t>
      </w:r>
      <w:r w:rsidR="00B31A25">
        <w:rPr>
          <w:rFonts w:asciiTheme="majorHAnsi" w:hAnsiTheme="majorHAnsi" w:cs="URWPalladioL-Roma"/>
          <w:sz w:val="24"/>
          <w:szCs w:val="24"/>
        </w:rPr>
        <w:t xml:space="preserve">significant </w:t>
      </w:r>
      <w:r w:rsidRPr="00AF643E">
        <w:rPr>
          <w:rFonts w:asciiTheme="majorHAnsi" w:hAnsiTheme="majorHAnsi" w:cs="URWPalladioL-Roma"/>
          <w:sz w:val="24"/>
          <w:szCs w:val="24"/>
        </w:rPr>
        <w:t>profits</w:t>
      </w:r>
      <w:r w:rsidR="00B31A25">
        <w:rPr>
          <w:rFonts w:asciiTheme="majorHAnsi" w:hAnsiTheme="majorHAnsi" w:cs="URWPalladioL-Roma"/>
          <w:sz w:val="24"/>
          <w:szCs w:val="24"/>
        </w:rPr>
        <w:t xml:space="preserve"> on anticipated improvements</w:t>
      </w:r>
      <w:r w:rsidR="002B2B63">
        <w:rPr>
          <w:rFonts w:asciiTheme="majorHAnsi" w:hAnsiTheme="majorHAnsi" w:cs="URWPalladioL-Roma"/>
          <w:sz w:val="24"/>
          <w:szCs w:val="24"/>
        </w:rPr>
        <w:t>, but has lower downside risk</w:t>
      </w:r>
      <w:r w:rsidRPr="00AF643E">
        <w:rPr>
          <w:rFonts w:asciiTheme="majorHAnsi" w:hAnsiTheme="majorHAnsi" w:cs="URWPalladioL-Roma"/>
          <w:sz w:val="24"/>
          <w:szCs w:val="24"/>
        </w:rPr>
        <w:t xml:space="preserve">. A larger margin increases the range over which the company can make a profit. It also increases the amount of </w:t>
      </w:r>
      <w:r w:rsidR="002B2B63">
        <w:rPr>
          <w:rFonts w:asciiTheme="majorHAnsi" w:hAnsiTheme="majorHAnsi" w:cs="URWPalladioL-Roma"/>
          <w:sz w:val="24"/>
          <w:szCs w:val="24"/>
        </w:rPr>
        <w:t>loss</w:t>
      </w:r>
      <w:r w:rsidRPr="00AF643E">
        <w:rPr>
          <w:rFonts w:asciiTheme="majorHAnsi" w:hAnsiTheme="majorHAnsi" w:cs="URWPalladioL-Roma"/>
          <w:sz w:val="24"/>
          <w:szCs w:val="24"/>
        </w:rPr>
        <w:t xml:space="preserve"> possible</w:t>
      </w:r>
      <w:r w:rsidR="002B2B63">
        <w:rPr>
          <w:rFonts w:asciiTheme="majorHAnsi" w:hAnsiTheme="majorHAnsi" w:cs="URWPalladioL-Roma"/>
          <w:sz w:val="24"/>
          <w:szCs w:val="24"/>
        </w:rPr>
        <w:t>, should the improvement be lower than priced for (expected)</w:t>
      </w:r>
      <w:r w:rsidRPr="00AF643E">
        <w:rPr>
          <w:rFonts w:asciiTheme="majorHAnsi" w:hAnsiTheme="majorHAnsi" w:cs="URWPalladioL-Roma"/>
          <w:sz w:val="24"/>
          <w:szCs w:val="24"/>
        </w:rPr>
        <w:t>. A margin of 2% allows profits to be made if the longevity improvements are between 1% and 3%, as well as allowing the highest possible profits to be made at any rate between 1% and 3%.</w:t>
      </w:r>
    </w:p>
    <w:p w:rsidR="005E47B9" w:rsidRPr="00AF643E"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 xml:space="preserve">The downside of a larger margin is the increased losses that are possible. </w:t>
      </w:r>
      <w:r w:rsidR="00F159BC">
        <w:rPr>
          <w:rFonts w:asciiTheme="majorHAnsi" w:hAnsiTheme="majorHAnsi" w:cs="URWPalladioL-Roma"/>
          <w:sz w:val="24"/>
          <w:szCs w:val="24"/>
        </w:rPr>
        <w:t xml:space="preserve">This happens when improvements turn out to be less than that hedged for.  </w:t>
      </w:r>
      <w:r w:rsidRPr="00AF643E">
        <w:rPr>
          <w:rFonts w:asciiTheme="majorHAnsi" w:hAnsiTheme="majorHAnsi" w:cs="URWPalladioL-Roma"/>
          <w:sz w:val="24"/>
          <w:szCs w:val="24"/>
        </w:rPr>
        <w:t xml:space="preserve">The graph above clearly </w:t>
      </w:r>
      <w:r w:rsidRPr="00AF643E">
        <w:rPr>
          <w:rFonts w:asciiTheme="majorHAnsi" w:hAnsiTheme="majorHAnsi" w:cs="URWPalladioL-Roma"/>
          <w:sz w:val="24"/>
          <w:szCs w:val="24"/>
        </w:rPr>
        <w:lastRenderedPageBreak/>
        <w:t>shows that the losses incurred by using a 2% margin are the largest and those incurred by the 0.5% margin are the smallest.</w:t>
      </w:r>
    </w:p>
    <w:p w:rsidR="005E47B9"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 xml:space="preserve">The assurances required in these hedges may need to be considered. The table below shows how many assurances are required if increases in longevity of 1% are assumed and the various additional longevity increases are hedged for. </w:t>
      </w:r>
    </w:p>
    <w:p w:rsidR="005E47B9" w:rsidRPr="002B2B63" w:rsidRDefault="002B2B63" w:rsidP="002B2B63">
      <w:pPr>
        <w:pStyle w:val="Caption"/>
        <w:rPr>
          <w:rFonts w:asciiTheme="majorHAnsi" w:hAnsiTheme="majorHAnsi" w:cs="URWPalladioL-Roma"/>
          <w:sz w:val="22"/>
          <w:szCs w:val="22"/>
        </w:rPr>
      </w:pPr>
      <w:r w:rsidRPr="002B2B63">
        <w:rPr>
          <w:sz w:val="22"/>
          <w:szCs w:val="22"/>
        </w:rPr>
        <w:t xml:space="preserve">Table </w:t>
      </w:r>
      <w:r w:rsidRPr="002B2B63">
        <w:rPr>
          <w:sz w:val="22"/>
          <w:szCs w:val="22"/>
        </w:rPr>
        <w:fldChar w:fldCharType="begin"/>
      </w:r>
      <w:r w:rsidRPr="002B2B63">
        <w:rPr>
          <w:sz w:val="22"/>
          <w:szCs w:val="22"/>
        </w:rPr>
        <w:instrText xml:space="preserve"> SEQ Table \* ARABIC </w:instrText>
      </w:r>
      <w:r w:rsidRPr="002B2B63">
        <w:rPr>
          <w:sz w:val="22"/>
          <w:szCs w:val="22"/>
        </w:rPr>
        <w:fldChar w:fldCharType="separate"/>
      </w:r>
      <w:r w:rsidRPr="002B2B63">
        <w:rPr>
          <w:noProof/>
          <w:sz w:val="22"/>
          <w:szCs w:val="22"/>
        </w:rPr>
        <w:t>8</w:t>
      </w:r>
      <w:r w:rsidRPr="002B2B63">
        <w:rPr>
          <w:sz w:val="22"/>
          <w:szCs w:val="22"/>
        </w:rPr>
        <w:fldChar w:fldCharType="end"/>
      </w:r>
      <w:r w:rsidRPr="002B2B63">
        <w:rPr>
          <w:sz w:val="22"/>
          <w:szCs w:val="22"/>
        </w:rPr>
        <w:t xml:space="preserve"> - Hedging requirements for additional longevity improvement above pricing</w:t>
      </w:r>
    </w:p>
    <w:tbl>
      <w:tblPr>
        <w:tblW w:w="5847" w:type="dxa"/>
        <w:jc w:val="center"/>
        <w:tblInd w:w="-960" w:type="dxa"/>
        <w:tblLayout w:type="fixed"/>
        <w:tblLook w:val="04A0" w:firstRow="1" w:lastRow="0" w:firstColumn="1" w:lastColumn="0" w:noHBand="0" w:noVBand="1"/>
      </w:tblPr>
      <w:tblGrid>
        <w:gridCol w:w="2923"/>
        <w:gridCol w:w="2924"/>
      </w:tblGrid>
      <w:tr w:rsidR="005E47B9" w:rsidRPr="00AF643E" w:rsidTr="005E47B9">
        <w:trPr>
          <w:trHeight w:val="300"/>
          <w:jc w:val="center"/>
        </w:trPr>
        <w:tc>
          <w:tcPr>
            <w:tcW w:w="2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rPr>
                <w:rFonts w:asciiTheme="majorHAnsi" w:hAnsiTheme="majorHAnsi" w:cs="URWPalladioL-Roma"/>
                <w:sz w:val="24"/>
                <w:szCs w:val="24"/>
              </w:rPr>
            </w:pPr>
            <w:r w:rsidRPr="00AF643E">
              <w:rPr>
                <w:rFonts w:asciiTheme="majorHAnsi" w:hAnsiTheme="majorHAnsi" w:cs="URWPalladioL-Roma"/>
                <w:sz w:val="24"/>
                <w:szCs w:val="24"/>
              </w:rPr>
              <w:t>Additional longevity improvement above pricing</w:t>
            </w:r>
          </w:p>
        </w:tc>
        <w:tc>
          <w:tcPr>
            <w:tcW w:w="2924" w:type="dxa"/>
            <w:tcBorders>
              <w:top w:val="single" w:sz="4" w:space="0" w:color="auto"/>
              <w:left w:val="nil"/>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Assurances required</w:t>
            </w:r>
          </w:p>
        </w:tc>
      </w:tr>
      <w:tr w:rsidR="005E47B9" w:rsidRPr="00AF643E" w:rsidTr="005E47B9">
        <w:trPr>
          <w:trHeight w:val="300"/>
          <w:jc w:val="center"/>
        </w:trPr>
        <w:tc>
          <w:tcPr>
            <w:tcW w:w="2923"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0.5%</w:t>
            </w:r>
          </w:p>
        </w:tc>
        <w:tc>
          <w:tcPr>
            <w:tcW w:w="2924"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56.9886</w:t>
            </w:r>
          </w:p>
        </w:tc>
      </w:tr>
      <w:tr w:rsidR="005E47B9" w:rsidRPr="00AF643E" w:rsidTr="005E47B9">
        <w:trPr>
          <w:trHeight w:val="300"/>
          <w:jc w:val="center"/>
        </w:trPr>
        <w:tc>
          <w:tcPr>
            <w:tcW w:w="2923"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1%</w:t>
            </w:r>
          </w:p>
        </w:tc>
        <w:tc>
          <w:tcPr>
            <w:tcW w:w="2924"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57.1470</w:t>
            </w:r>
          </w:p>
        </w:tc>
      </w:tr>
      <w:tr w:rsidR="005E47B9" w:rsidRPr="00AF643E" w:rsidTr="005E47B9">
        <w:trPr>
          <w:trHeight w:val="300"/>
          <w:jc w:val="center"/>
        </w:trPr>
        <w:tc>
          <w:tcPr>
            <w:tcW w:w="2923"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1.5%</w:t>
            </w:r>
          </w:p>
        </w:tc>
        <w:tc>
          <w:tcPr>
            <w:tcW w:w="2924"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57.3053</w:t>
            </w:r>
          </w:p>
        </w:tc>
      </w:tr>
      <w:tr w:rsidR="005E47B9" w:rsidRPr="00AF643E" w:rsidTr="005E47B9">
        <w:trPr>
          <w:trHeight w:val="300"/>
          <w:jc w:val="center"/>
        </w:trPr>
        <w:tc>
          <w:tcPr>
            <w:tcW w:w="2923"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2%</w:t>
            </w:r>
          </w:p>
        </w:tc>
        <w:tc>
          <w:tcPr>
            <w:tcW w:w="2924"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57.4637</w:t>
            </w:r>
          </w:p>
        </w:tc>
      </w:tr>
    </w:tbl>
    <w:p w:rsidR="005E47B9" w:rsidRPr="00AF643E" w:rsidRDefault="005E47B9" w:rsidP="005E47B9">
      <w:pPr>
        <w:spacing w:line="360" w:lineRule="auto"/>
        <w:jc w:val="both"/>
        <w:rPr>
          <w:rFonts w:asciiTheme="majorHAnsi" w:hAnsiTheme="majorHAnsi" w:cs="URWPalladioL-Roma"/>
          <w:sz w:val="24"/>
          <w:szCs w:val="24"/>
        </w:rPr>
      </w:pPr>
    </w:p>
    <w:p w:rsidR="005E47B9" w:rsidRPr="00AF643E"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The assurances required increase as the additional longevity improvements increase. The increases shown in the table are rather small, but it should be noted that these are the assurances required to hedge R1 of annuities. The actual amounts of assurances required may vary greatly when calculated for an entire portfolio and may then result in a significant financial decision for the insurer. Hedging for more additional longevity improvements may initially seem more profitable, but the cost of attaining the required amount of assurances may make hedging for less additional improvements more profitable. The cost of attaining the required amount of assurances may be so large as to make hedging for larger additional longevity improvements impossible for smaller insurance companies.</w:t>
      </w:r>
    </w:p>
    <w:p w:rsidR="005E47B9" w:rsidRPr="00AF643E" w:rsidRDefault="005E47B9" w:rsidP="005E47B9">
      <w:pPr>
        <w:spacing w:line="360" w:lineRule="auto"/>
        <w:jc w:val="both"/>
        <w:rPr>
          <w:rFonts w:asciiTheme="majorHAnsi" w:hAnsiTheme="majorHAnsi" w:cs="URWPalladioL-Roma"/>
          <w:sz w:val="24"/>
          <w:szCs w:val="24"/>
        </w:rPr>
      </w:pPr>
      <w:r>
        <w:rPr>
          <w:rFonts w:asciiTheme="majorHAnsi" w:hAnsiTheme="majorHAnsi" w:cs="URWPalladioL-Roma"/>
          <w:sz w:val="24"/>
          <w:szCs w:val="24"/>
        </w:rPr>
        <w:t>A similar</w:t>
      </w:r>
      <w:r w:rsidRPr="00AF643E">
        <w:rPr>
          <w:rFonts w:asciiTheme="majorHAnsi" w:hAnsiTheme="majorHAnsi" w:cs="URWPalladioL-Roma"/>
          <w:sz w:val="24"/>
          <w:szCs w:val="24"/>
        </w:rPr>
        <w:t xml:space="preserve"> effect is observed when holding the longevity improvement to be hedged constant and varying the longevity improvement assumed for pricing.  In the following graph, we made use of a term of 5 years and hedged a longevity increase of 2%. </w:t>
      </w:r>
    </w:p>
    <w:p w:rsidR="0037663F" w:rsidRDefault="0037663F" w:rsidP="005E47B9">
      <w:pPr>
        <w:spacing w:line="360" w:lineRule="auto"/>
        <w:jc w:val="center"/>
        <w:rPr>
          <w:rFonts w:asciiTheme="majorHAnsi" w:hAnsiTheme="majorHAnsi" w:cs="URWPalladioL-Roma"/>
          <w:sz w:val="24"/>
          <w:szCs w:val="24"/>
        </w:rPr>
      </w:pPr>
    </w:p>
    <w:p w:rsidR="0037663F" w:rsidRDefault="0037663F" w:rsidP="0037663F">
      <w:pPr>
        <w:pStyle w:val="Caption"/>
      </w:pPr>
    </w:p>
    <w:p w:rsidR="0037663F" w:rsidRPr="0037663F" w:rsidRDefault="0037663F" w:rsidP="0037663F">
      <w:pPr>
        <w:pStyle w:val="Caption"/>
        <w:rPr>
          <w:rFonts w:asciiTheme="majorHAnsi" w:hAnsiTheme="majorHAnsi" w:cs="URWPalladioL-Roma"/>
          <w:sz w:val="22"/>
          <w:szCs w:val="22"/>
        </w:rPr>
      </w:pPr>
      <w:r w:rsidRPr="0037663F">
        <w:rPr>
          <w:sz w:val="22"/>
          <w:szCs w:val="22"/>
        </w:rPr>
        <w:lastRenderedPageBreak/>
        <w:t xml:space="preserve">Figure </w:t>
      </w:r>
      <w:r w:rsidRPr="0037663F">
        <w:rPr>
          <w:sz w:val="22"/>
          <w:szCs w:val="22"/>
        </w:rPr>
        <w:fldChar w:fldCharType="begin"/>
      </w:r>
      <w:r w:rsidRPr="0037663F">
        <w:rPr>
          <w:sz w:val="22"/>
          <w:szCs w:val="22"/>
        </w:rPr>
        <w:instrText xml:space="preserve"> SEQ Figure \* ARABIC </w:instrText>
      </w:r>
      <w:r w:rsidRPr="0037663F">
        <w:rPr>
          <w:sz w:val="22"/>
          <w:szCs w:val="22"/>
        </w:rPr>
        <w:fldChar w:fldCharType="separate"/>
      </w:r>
      <w:r w:rsidR="00765D35">
        <w:rPr>
          <w:noProof/>
          <w:sz w:val="22"/>
          <w:szCs w:val="22"/>
        </w:rPr>
        <w:t>9</w:t>
      </w:r>
      <w:r w:rsidRPr="0037663F">
        <w:rPr>
          <w:sz w:val="22"/>
          <w:szCs w:val="22"/>
        </w:rPr>
        <w:fldChar w:fldCharType="end"/>
      </w:r>
      <w:r w:rsidRPr="0037663F">
        <w:rPr>
          <w:sz w:val="22"/>
          <w:szCs w:val="22"/>
        </w:rPr>
        <w:t xml:space="preserve"> - Cash-flows resulting from the hedges for different longevity improvements used for pricing</w:t>
      </w:r>
    </w:p>
    <w:p w:rsidR="005E47B9" w:rsidRPr="00AF643E" w:rsidRDefault="005E47B9" w:rsidP="005E47B9">
      <w:pPr>
        <w:spacing w:line="360" w:lineRule="auto"/>
        <w:jc w:val="center"/>
        <w:rPr>
          <w:rFonts w:asciiTheme="majorHAnsi" w:hAnsiTheme="majorHAnsi" w:cs="URWPalladioL-Roma"/>
          <w:sz w:val="24"/>
          <w:szCs w:val="24"/>
        </w:rPr>
      </w:pPr>
      <w:r w:rsidRPr="00AF643E">
        <w:rPr>
          <w:rFonts w:asciiTheme="majorHAnsi" w:hAnsiTheme="majorHAnsi" w:cs="URWPalladioL-Roma"/>
          <w:noProof/>
          <w:sz w:val="24"/>
          <w:szCs w:val="24"/>
          <w:lang w:val="en-ZA" w:eastAsia="en-ZA"/>
        </w:rPr>
        <w:drawing>
          <wp:inline distT="0" distB="0" distL="0" distR="0" wp14:anchorId="1057C798" wp14:editId="1290C53F">
            <wp:extent cx="4583083" cy="2743200"/>
            <wp:effectExtent l="19050" t="0" r="27017" b="0"/>
            <wp:docPr id="3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E47B9" w:rsidRPr="00AF643E"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The graph shows the effect of pricing for different longevity improvements, but hedging for a fixed 2% longevity improvement.  A similar shape to the previous investigation occurs. If the actual longevity improvements fall in between the improvements priced and hedged for, a profit is made. If longevity improvements are more than the improvements hedged for or less than those priced for, a loss is incurred.</w:t>
      </w:r>
    </w:p>
    <w:p w:rsidR="005E47B9" w:rsidRPr="00AF643E"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 xml:space="preserve">Once again a margin of 0.5% allows the company to break even or make losses. This strategy does not </w:t>
      </w:r>
      <w:r w:rsidR="00531A56">
        <w:rPr>
          <w:rFonts w:asciiTheme="majorHAnsi" w:hAnsiTheme="majorHAnsi" w:cs="URWPalladioL-Roma"/>
          <w:sz w:val="24"/>
          <w:szCs w:val="24"/>
        </w:rPr>
        <w:t xml:space="preserve">really </w:t>
      </w:r>
      <w:r w:rsidRPr="00AF643E">
        <w:rPr>
          <w:rFonts w:asciiTheme="majorHAnsi" w:hAnsiTheme="majorHAnsi" w:cs="URWPalladioL-Roma"/>
          <w:sz w:val="24"/>
          <w:szCs w:val="24"/>
        </w:rPr>
        <w:t>allow the company to make profits. Larger margins allow larger ranges over which profits can be made as well as larger profits. However, larger losses could also be incurred by making use of larger margins.</w:t>
      </w:r>
    </w:p>
    <w:p w:rsidR="005E47B9" w:rsidRPr="00AF643E"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 xml:space="preserve">The assurances required in these hedges may need to be of significance. The table below shows how many assurances are required if increases in longevity of 2% are hedged for and the various longevity increases are priced for. </w:t>
      </w:r>
    </w:p>
    <w:p w:rsidR="005E47B9" w:rsidRDefault="005E47B9" w:rsidP="005E47B9">
      <w:pPr>
        <w:spacing w:line="360" w:lineRule="auto"/>
        <w:jc w:val="both"/>
        <w:rPr>
          <w:rFonts w:asciiTheme="majorHAnsi" w:hAnsiTheme="majorHAnsi" w:cs="URWPalladioL-Roma"/>
          <w:sz w:val="24"/>
          <w:szCs w:val="24"/>
        </w:rPr>
      </w:pPr>
    </w:p>
    <w:p w:rsidR="005E47B9" w:rsidRDefault="005E47B9" w:rsidP="005E47B9">
      <w:pPr>
        <w:spacing w:line="360" w:lineRule="auto"/>
        <w:jc w:val="both"/>
        <w:rPr>
          <w:rFonts w:asciiTheme="majorHAnsi" w:hAnsiTheme="majorHAnsi" w:cs="URWPalladioL-Roma"/>
          <w:sz w:val="24"/>
          <w:szCs w:val="24"/>
        </w:rPr>
      </w:pPr>
    </w:p>
    <w:p w:rsidR="005E47B9" w:rsidRPr="00AF643E" w:rsidRDefault="005E47B9" w:rsidP="005E47B9">
      <w:pPr>
        <w:spacing w:line="360" w:lineRule="auto"/>
        <w:jc w:val="both"/>
        <w:rPr>
          <w:rFonts w:asciiTheme="majorHAnsi" w:hAnsiTheme="majorHAnsi" w:cs="URWPalladioL-Roma"/>
          <w:sz w:val="24"/>
          <w:szCs w:val="24"/>
        </w:rPr>
      </w:pPr>
    </w:p>
    <w:tbl>
      <w:tblPr>
        <w:tblW w:w="5820" w:type="dxa"/>
        <w:jc w:val="center"/>
        <w:tblInd w:w="-1757" w:type="dxa"/>
        <w:tblLayout w:type="fixed"/>
        <w:tblLook w:val="04A0" w:firstRow="1" w:lastRow="0" w:firstColumn="1" w:lastColumn="0" w:noHBand="0" w:noVBand="1"/>
      </w:tblPr>
      <w:tblGrid>
        <w:gridCol w:w="2910"/>
        <w:gridCol w:w="2910"/>
      </w:tblGrid>
      <w:tr w:rsidR="005E47B9" w:rsidRPr="00AF643E" w:rsidTr="005E47B9">
        <w:trPr>
          <w:trHeight w:val="300"/>
          <w:jc w:val="center"/>
        </w:trPr>
        <w:tc>
          <w:tcPr>
            <w:tcW w:w="2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rPr>
                <w:rFonts w:asciiTheme="majorHAnsi" w:hAnsiTheme="majorHAnsi" w:cs="URWPalladioL-Roma"/>
                <w:sz w:val="24"/>
                <w:szCs w:val="24"/>
              </w:rPr>
            </w:pPr>
            <w:r w:rsidRPr="00AF643E">
              <w:rPr>
                <w:rFonts w:asciiTheme="majorHAnsi" w:hAnsiTheme="majorHAnsi" w:cs="URWPalladioL-Roma"/>
                <w:sz w:val="24"/>
                <w:szCs w:val="24"/>
              </w:rPr>
              <w:lastRenderedPageBreak/>
              <w:t>Longevity improvement used for pricing</w:t>
            </w:r>
          </w:p>
        </w:tc>
        <w:tc>
          <w:tcPr>
            <w:tcW w:w="2910" w:type="dxa"/>
            <w:tcBorders>
              <w:top w:val="single" w:sz="4" w:space="0" w:color="auto"/>
              <w:left w:val="nil"/>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Assurances required</w:t>
            </w:r>
          </w:p>
        </w:tc>
      </w:tr>
      <w:tr w:rsidR="005E47B9" w:rsidRPr="00AF643E" w:rsidTr="005E47B9">
        <w:trPr>
          <w:trHeight w:val="300"/>
          <w:jc w:val="center"/>
        </w:trPr>
        <w:tc>
          <w:tcPr>
            <w:tcW w:w="2910"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0%</w:t>
            </w:r>
          </w:p>
        </w:tc>
        <w:tc>
          <w:tcPr>
            <w:tcW w:w="2910"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56.8260</w:t>
            </w:r>
          </w:p>
        </w:tc>
      </w:tr>
      <w:tr w:rsidR="005E47B9" w:rsidRPr="00AF643E" w:rsidTr="005E47B9">
        <w:trPr>
          <w:trHeight w:val="300"/>
          <w:jc w:val="center"/>
        </w:trPr>
        <w:tc>
          <w:tcPr>
            <w:tcW w:w="2910"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0.5%</w:t>
            </w:r>
          </w:p>
        </w:tc>
        <w:tc>
          <w:tcPr>
            <w:tcW w:w="2910"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56.9865</w:t>
            </w:r>
          </w:p>
        </w:tc>
      </w:tr>
      <w:tr w:rsidR="005E47B9" w:rsidRPr="00AF643E" w:rsidTr="005E47B9">
        <w:trPr>
          <w:trHeight w:val="300"/>
          <w:jc w:val="center"/>
        </w:trPr>
        <w:tc>
          <w:tcPr>
            <w:tcW w:w="2910"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1%</w:t>
            </w:r>
          </w:p>
        </w:tc>
        <w:tc>
          <w:tcPr>
            <w:tcW w:w="2910"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57.1470</w:t>
            </w:r>
          </w:p>
        </w:tc>
      </w:tr>
      <w:tr w:rsidR="005E47B9" w:rsidRPr="00AF643E" w:rsidTr="005E47B9">
        <w:trPr>
          <w:trHeight w:val="300"/>
          <w:jc w:val="center"/>
        </w:trPr>
        <w:tc>
          <w:tcPr>
            <w:tcW w:w="2910" w:type="dxa"/>
            <w:tcBorders>
              <w:top w:val="nil"/>
              <w:left w:val="single" w:sz="4" w:space="0" w:color="auto"/>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1.5%</w:t>
            </w:r>
          </w:p>
        </w:tc>
        <w:tc>
          <w:tcPr>
            <w:tcW w:w="2910" w:type="dxa"/>
            <w:tcBorders>
              <w:top w:val="nil"/>
              <w:left w:val="nil"/>
              <w:bottom w:val="single" w:sz="4" w:space="0" w:color="auto"/>
              <w:right w:val="single" w:sz="4" w:space="0" w:color="auto"/>
            </w:tcBorders>
            <w:shd w:val="clear" w:color="auto" w:fill="auto"/>
            <w:noWrap/>
            <w:vAlign w:val="bottom"/>
            <w:hideMark/>
          </w:tcPr>
          <w:p w:rsidR="005E47B9" w:rsidRPr="00AF643E" w:rsidRDefault="005E47B9" w:rsidP="005E47B9">
            <w:pPr>
              <w:spacing w:after="0" w:line="360" w:lineRule="auto"/>
              <w:jc w:val="both"/>
              <w:rPr>
                <w:rFonts w:asciiTheme="majorHAnsi" w:hAnsiTheme="majorHAnsi" w:cs="URWPalladioL-Roma"/>
                <w:sz w:val="24"/>
                <w:szCs w:val="24"/>
              </w:rPr>
            </w:pPr>
            <w:r w:rsidRPr="00AF643E">
              <w:rPr>
                <w:rFonts w:asciiTheme="majorHAnsi" w:hAnsiTheme="majorHAnsi" w:cs="URWPalladioL-Roma"/>
                <w:sz w:val="24"/>
                <w:szCs w:val="24"/>
              </w:rPr>
              <w:t>57.3074</w:t>
            </w:r>
          </w:p>
        </w:tc>
      </w:tr>
    </w:tbl>
    <w:p w:rsidR="005E47B9" w:rsidRPr="00AF643E" w:rsidRDefault="005E47B9" w:rsidP="005E47B9">
      <w:pPr>
        <w:spacing w:line="360" w:lineRule="auto"/>
        <w:jc w:val="both"/>
        <w:rPr>
          <w:rFonts w:asciiTheme="majorHAnsi" w:hAnsiTheme="majorHAnsi" w:cs="URWPalladioL-Roma"/>
          <w:sz w:val="24"/>
          <w:szCs w:val="24"/>
        </w:rPr>
      </w:pPr>
    </w:p>
    <w:p w:rsidR="005E47B9" w:rsidRPr="00AF643E"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 xml:space="preserve">The values in the table above represent the amounts of assurances needed to hedge R1 of annuities. These values increase as the longevity improvement priced for increases and could thus result in a significant financial decision for the insurer. The actual amounts of assurances required may vary greatly when an entire portfolio is considered. </w:t>
      </w:r>
    </w:p>
    <w:p w:rsidR="005E47B9" w:rsidRDefault="005E47B9" w:rsidP="005E47B9">
      <w:pPr>
        <w:spacing w:line="360" w:lineRule="auto"/>
        <w:jc w:val="both"/>
        <w:rPr>
          <w:rFonts w:asciiTheme="majorHAnsi" w:hAnsiTheme="majorHAnsi" w:cs="URWPalladioL-Roma"/>
          <w:sz w:val="24"/>
          <w:szCs w:val="24"/>
        </w:rPr>
      </w:pPr>
      <w:r w:rsidRPr="00AF643E">
        <w:rPr>
          <w:rFonts w:asciiTheme="majorHAnsi" w:hAnsiTheme="majorHAnsi" w:cs="URWPalladioL-Roma"/>
          <w:sz w:val="24"/>
          <w:szCs w:val="24"/>
        </w:rPr>
        <w:t>This table and the graph above suggest that, although pricing for 0% longevity improvements and hedging for 2% allows the possibility of the largest losses if actual longevity improvements are above 2%, it may be the most cost effective option. This option allows the largest range over which profits can be made as well as the largest profits to be made. It also requires the least amount of assura</w:t>
      </w:r>
      <w:r>
        <w:rPr>
          <w:rFonts w:asciiTheme="majorHAnsi" w:hAnsiTheme="majorHAnsi" w:cs="URWPalladioL-Roma"/>
          <w:sz w:val="24"/>
          <w:szCs w:val="24"/>
        </w:rPr>
        <w:t xml:space="preserve">nces by the LHR. It thus </w:t>
      </w:r>
      <w:proofErr w:type="spellStart"/>
      <w:r>
        <w:rPr>
          <w:rFonts w:asciiTheme="majorHAnsi" w:hAnsiTheme="majorHAnsi" w:cs="URWPalladioL-Roma"/>
          <w:sz w:val="24"/>
          <w:szCs w:val="24"/>
        </w:rPr>
        <w:t>minimis</w:t>
      </w:r>
      <w:r w:rsidRPr="00AF643E">
        <w:rPr>
          <w:rFonts w:asciiTheme="majorHAnsi" w:hAnsiTheme="majorHAnsi" w:cs="URWPalladioL-Roma"/>
          <w:sz w:val="24"/>
          <w:szCs w:val="24"/>
        </w:rPr>
        <w:t>es</w:t>
      </w:r>
      <w:proofErr w:type="spellEnd"/>
      <w:r w:rsidRPr="00AF643E">
        <w:rPr>
          <w:rFonts w:asciiTheme="majorHAnsi" w:hAnsiTheme="majorHAnsi" w:cs="URWPalladioL-Roma"/>
          <w:sz w:val="24"/>
          <w:szCs w:val="24"/>
        </w:rPr>
        <w:t xml:space="preserve"> the cost of attaining the required amount of assurances, making this a more viable option for many insurers.</w:t>
      </w:r>
    </w:p>
    <w:p w:rsidR="0037663F" w:rsidRPr="00AF643E" w:rsidRDefault="0037663F" w:rsidP="005E47B9">
      <w:pPr>
        <w:spacing w:line="360" w:lineRule="auto"/>
        <w:jc w:val="both"/>
        <w:rPr>
          <w:rFonts w:asciiTheme="majorHAnsi" w:hAnsiTheme="majorHAnsi" w:cs="URWPalladioL-Roma"/>
          <w:sz w:val="24"/>
          <w:szCs w:val="24"/>
        </w:rPr>
      </w:pPr>
    </w:p>
    <w:p w:rsidR="005E47B9" w:rsidRDefault="001C1AA2" w:rsidP="004618AB">
      <w:pPr>
        <w:pStyle w:val="Heading2"/>
        <w:spacing w:line="360" w:lineRule="auto"/>
        <w:jc w:val="both"/>
      </w:pPr>
      <w:bookmarkStart w:id="28" w:name="_Toc312148286"/>
      <w:bookmarkStart w:id="29" w:name="_Toc312252643"/>
      <w:bookmarkStart w:id="30" w:name="_Toc374709723"/>
      <w:r>
        <w:t>4.</w:t>
      </w:r>
      <w:r w:rsidR="006D3E21">
        <w:t>5</w:t>
      </w:r>
      <w:r>
        <w:t xml:space="preserve"> </w:t>
      </w:r>
      <w:r w:rsidR="005E47B9">
        <w:t>Changes in interest rates</w:t>
      </w:r>
      <w:bookmarkEnd w:id="28"/>
      <w:bookmarkEnd w:id="29"/>
      <w:bookmarkEnd w:id="30"/>
      <w:r w:rsidR="005E47B9">
        <w:t xml:space="preserve"> </w:t>
      </w:r>
    </w:p>
    <w:p w:rsidR="005E47B9" w:rsidRPr="004C69D6" w:rsidRDefault="005E47B9" w:rsidP="005E47B9">
      <w:pPr>
        <w:pStyle w:val="NoSpacing"/>
      </w:pPr>
    </w:p>
    <w:p w:rsidR="005E47B9" w:rsidRDefault="005E47B9" w:rsidP="005E47B9">
      <w:pPr>
        <w:spacing w:line="360" w:lineRule="auto"/>
        <w:jc w:val="both"/>
        <w:rPr>
          <w:rFonts w:asciiTheme="majorHAnsi" w:hAnsiTheme="majorHAnsi" w:cs="URWPalladioL-Roma"/>
          <w:sz w:val="24"/>
          <w:szCs w:val="24"/>
        </w:rPr>
      </w:pPr>
      <w:r>
        <w:rPr>
          <w:rFonts w:asciiTheme="majorHAnsi" w:hAnsiTheme="majorHAnsi" w:cs="URWPalladioL-Roma"/>
          <w:sz w:val="24"/>
          <w:szCs w:val="24"/>
        </w:rPr>
        <w:t>At the low rates of interest, such as below 4%, there is very small effect on the LHR. At larger rates, more assurances are required for the hedge since a change in the interest rate has a larger effect on the longer term of the assurances.  The graph below shows the number of assurances required for the hedge assuming the full term is hedged.  The life assured is aged 25 and the annuitant is aged 65.</w:t>
      </w:r>
    </w:p>
    <w:p w:rsidR="005E47B9" w:rsidRDefault="005E47B9" w:rsidP="005E47B9">
      <w:pPr>
        <w:spacing w:line="360" w:lineRule="auto"/>
        <w:jc w:val="both"/>
        <w:rPr>
          <w:rFonts w:asciiTheme="majorHAnsi" w:hAnsiTheme="majorHAnsi" w:cs="URWPalladioL-Roma"/>
          <w:sz w:val="24"/>
          <w:szCs w:val="24"/>
        </w:rPr>
      </w:pPr>
    </w:p>
    <w:p w:rsidR="0037663F" w:rsidRDefault="0037663F" w:rsidP="005E47B9">
      <w:pPr>
        <w:spacing w:line="360" w:lineRule="auto"/>
        <w:jc w:val="center"/>
        <w:rPr>
          <w:rFonts w:asciiTheme="majorHAnsi" w:hAnsiTheme="majorHAnsi" w:cs="URWPalladioL-Roma"/>
          <w:sz w:val="24"/>
          <w:szCs w:val="24"/>
        </w:rPr>
      </w:pPr>
    </w:p>
    <w:p w:rsidR="0037663F" w:rsidRPr="0037663F" w:rsidRDefault="0037663F" w:rsidP="0037663F">
      <w:pPr>
        <w:pStyle w:val="Caption"/>
        <w:rPr>
          <w:rFonts w:asciiTheme="majorHAnsi" w:hAnsiTheme="majorHAnsi" w:cs="URWPalladioL-Roma"/>
          <w:sz w:val="22"/>
          <w:szCs w:val="22"/>
        </w:rPr>
      </w:pPr>
      <w:r w:rsidRPr="0037663F">
        <w:rPr>
          <w:sz w:val="22"/>
          <w:szCs w:val="22"/>
        </w:rPr>
        <w:lastRenderedPageBreak/>
        <w:t xml:space="preserve">Figure </w:t>
      </w:r>
      <w:r w:rsidRPr="0037663F">
        <w:rPr>
          <w:sz w:val="22"/>
          <w:szCs w:val="22"/>
        </w:rPr>
        <w:fldChar w:fldCharType="begin"/>
      </w:r>
      <w:r w:rsidRPr="0037663F">
        <w:rPr>
          <w:sz w:val="22"/>
          <w:szCs w:val="22"/>
        </w:rPr>
        <w:instrText xml:space="preserve"> SEQ Figure \* ARABIC </w:instrText>
      </w:r>
      <w:r w:rsidRPr="0037663F">
        <w:rPr>
          <w:sz w:val="22"/>
          <w:szCs w:val="22"/>
        </w:rPr>
        <w:fldChar w:fldCharType="separate"/>
      </w:r>
      <w:r w:rsidR="00765D35">
        <w:rPr>
          <w:noProof/>
          <w:sz w:val="22"/>
          <w:szCs w:val="22"/>
        </w:rPr>
        <w:t>10</w:t>
      </w:r>
      <w:r w:rsidRPr="0037663F">
        <w:rPr>
          <w:sz w:val="22"/>
          <w:szCs w:val="22"/>
        </w:rPr>
        <w:fldChar w:fldCharType="end"/>
      </w:r>
      <w:r w:rsidRPr="0037663F">
        <w:rPr>
          <w:sz w:val="22"/>
          <w:szCs w:val="22"/>
        </w:rPr>
        <w:t xml:space="preserve"> - Assurances needed per </w:t>
      </w:r>
      <w:proofErr w:type="gramStart"/>
      <w:r w:rsidRPr="0037663F">
        <w:rPr>
          <w:sz w:val="22"/>
          <w:szCs w:val="22"/>
        </w:rPr>
        <w:t>R1  of</w:t>
      </w:r>
      <w:proofErr w:type="gramEnd"/>
      <w:r w:rsidRPr="0037663F">
        <w:rPr>
          <w:sz w:val="22"/>
          <w:szCs w:val="22"/>
        </w:rPr>
        <w:t xml:space="preserve"> annuity for different rates of interest</w:t>
      </w:r>
    </w:p>
    <w:p w:rsidR="005E47B9" w:rsidRDefault="005E47B9" w:rsidP="005E47B9">
      <w:pPr>
        <w:spacing w:line="360" w:lineRule="auto"/>
        <w:jc w:val="center"/>
        <w:rPr>
          <w:rFonts w:asciiTheme="majorHAnsi" w:hAnsiTheme="majorHAnsi" w:cs="URWPalladioL-Roma"/>
          <w:sz w:val="24"/>
          <w:szCs w:val="24"/>
        </w:rPr>
      </w:pPr>
      <w:r w:rsidRPr="00FA69BB">
        <w:rPr>
          <w:rFonts w:asciiTheme="majorHAnsi" w:hAnsiTheme="majorHAnsi" w:cs="URWPalladioL-Roma"/>
          <w:noProof/>
          <w:sz w:val="24"/>
          <w:szCs w:val="24"/>
          <w:lang w:val="en-ZA" w:eastAsia="en-ZA"/>
        </w:rPr>
        <w:drawing>
          <wp:inline distT="0" distB="0" distL="0" distR="0" wp14:anchorId="56EBD01C" wp14:editId="2F9BB44A">
            <wp:extent cx="4461510" cy="2743200"/>
            <wp:effectExtent l="0" t="0" r="0" b="0"/>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E47B9" w:rsidRDefault="005E47B9" w:rsidP="005E47B9">
      <w:pPr>
        <w:spacing w:line="360" w:lineRule="auto"/>
        <w:jc w:val="both"/>
        <w:rPr>
          <w:rFonts w:asciiTheme="majorHAnsi" w:hAnsiTheme="majorHAnsi" w:cs="URWPalladioL-Roma"/>
          <w:sz w:val="24"/>
          <w:szCs w:val="24"/>
        </w:rPr>
      </w:pPr>
    </w:p>
    <w:p w:rsidR="005E47B9" w:rsidRDefault="001C1AA2" w:rsidP="004618AB">
      <w:pPr>
        <w:pStyle w:val="Heading2"/>
        <w:spacing w:line="360" w:lineRule="auto"/>
        <w:jc w:val="both"/>
      </w:pPr>
      <w:bookmarkStart w:id="31" w:name="_Toc312148287"/>
      <w:bookmarkStart w:id="32" w:name="_Toc312252644"/>
      <w:bookmarkStart w:id="33" w:name="_Toc374709724"/>
      <w:r>
        <w:t>4.</w:t>
      </w:r>
      <w:r w:rsidR="006D3E21">
        <w:t>6</w:t>
      </w:r>
      <w:r>
        <w:t xml:space="preserve"> </w:t>
      </w:r>
      <w:r w:rsidR="005E47B9">
        <w:t>A practical example</w:t>
      </w:r>
      <w:bookmarkEnd w:id="31"/>
      <w:bookmarkEnd w:id="32"/>
      <w:r w:rsidR="0037663F">
        <w:t xml:space="preserve"> using simulation</w:t>
      </w:r>
      <w:bookmarkEnd w:id="33"/>
    </w:p>
    <w:p w:rsidR="005E47B9" w:rsidRPr="00FC3D1A" w:rsidRDefault="005E47B9" w:rsidP="005E47B9">
      <w:pPr>
        <w:pStyle w:val="NoSpacing"/>
      </w:pPr>
    </w:p>
    <w:p w:rsidR="005E47B9" w:rsidRDefault="005E47B9" w:rsidP="005E47B9">
      <w:pPr>
        <w:spacing w:line="360" w:lineRule="auto"/>
        <w:jc w:val="both"/>
        <w:rPr>
          <w:rFonts w:asciiTheme="majorHAnsi" w:hAnsiTheme="majorHAnsi" w:cs="URWPalladioL-Roma"/>
          <w:sz w:val="24"/>
          <w:szCs w:val="24"/>
        </w:rPr>
      </w:pPr>
      <w:r>
        <w:rPr>
          <w:rFonts w:asciiTheme="majorHAnsi" w:hAnsiTheme="majorHAnsi" w:cs="URWPalladioL-Roma"/>
          <w:sz w:val="24"/>
          <w:szCs w:val="24"/>
        </w:rPr>
        <w:t>Apart from the fact that the portfolios are not static, different portfolios will also have different structures. We may not expect a uniform or normal distribution for age or for the sums assured/annual annuity payments. However, this could be achieved by the means of reinsurance. An example of how this can be achieved may be to reinsure all sums above a certain amount</w:t>
      </w:r>
      <w:r w:rsidR="004618AB">
        <w:rPr>
          <w:rFonts w:asciiTheme="majorHAnsi" w:hAnsiTheme="majorHAnsi" w:cs="URWPalladioL-Roma"/>
          <w:sz w:val="24"/>
          <w:szCs w:val="24"/>
        </w:rPr>
        <w:t>, as mentioned earlier</w:t>
      </w:r>
      <w:r>
        <w:rPr>
          <w:rFonts w:asciiTheme="majorHAnsi" w:hAnsiTheme="majorHAnsi" w:cs="URWPalladioL-Roma"/>
          <w:sz w:val="24"/>
          <w:szCs w:val="24"/>
        </w:rPr>
        <w:t xml:space="preserve">.  If portfolios are large, it may create a more stable structure for age and sums assured in the portfolios.  Policy options may also help determine the structure. An example of such an option may be to allow sums assured in multiples of R100000 only.  However, if we simply allow for an average age and an average sum </w:t>
      </w:r>
      <w:r w:rsidR="004618AB">
        <w:rPr>
          <w:rFonts w:asciiTheme="majorHAnsi" w:hAnsiTheme="majorHAnsi" w:cs="URWPalladioL-Roma"/>
          <w:sz w:val="24"/>
          <w:szCs w:val="24"/>
        </w:rPr>
        <w:t>assured</w:t>
      </w:r>
      <w:r>
        <w:rPr>
          <w:rFonts w:asciiTheme="majorHAnsi" w:hAnsiTheme="majorHAnsi" w:cs="URWPalladioL-Roma"/>
          <w:sz w:val="24"/>
          <w:szCs w:val="24"/>
        </w:rPr>
        <w:t xml:space="preserve"> the effects on the LHR is as follows: </w:t>
      </w:r>
    </w:p>
    <w:p w:rsidR="005E47B9" w:rsidRDefault="005E47B9" w:rsidP="005E47B9">
      <w:pPr>
        <w:spacing w:line="360" w:lineRule="auto"/>
        <w:jc w:val="both"/>
        <w:rPr>
          <w:rFonts w:asciiTheme="majorHAnsi" w:hAnsiTheme="majorHAnsi" w:cs="URWPalladioL-Roma"/>
          <w:sz w:val="24"/>
          <w:szCs w:val="24"/>
        </w:rPr>
      </w:pPr>
    </w:p>
    <w:p w:rsidR="006313A6" w:rsidRDefault="006313A6" w:rsidP="005E47B9">
      <w:pPr>
        <w:spacing w:line="360" w:lineRule="auto"/>
        <w:jc w:val="center"/>
        <w:rPr>
          <w:rFonts w:asciiTheme="majorHAnsi" w:hAnsiTheme="majorHAnsi" w:cs="URWPalladioL-Roma"/>
          <w:sz w:val="24"/>
          <w:szCs w:val="24"/>
        </w:rPr>
      </w:pPr>
    </w:p>
    <w:p w:rsidR="006313A6" w:rsidRDefault="006313A6" w:rsidP="005E47B9">
      <w:pPr>
        <w:spacing w:line="360" w:lineRule="auto"/>
        <w:jc w:val="center"/>
        <w:rPr>
          <w:rFonts w:asciiTheme="majorHAnsi" w:hAnsiTheme="majorHAnsi" w:cs="URWPalladioL-Roma"/>
          <w:sz w:val="24"/>
          <w:szCs w:val="24"/>
        </w:rPr>
      </w:pPr>
    </w:p>
    <w:p w:rsidR="006313A6" w:rsidRDefault="006313A6" w:rsidP="005E47B9">
      <w:pPr>
        <w:spacing w:line="360" w:lineRule="auto"/>
        <w:jc w:val="center"/>
        <w:rPr>
          <w:rFonts w:asciiTheme="majorHAnsi" w:hAnsiTheme="majorHAnsi" w:cs="URWPalladioL-Roma"/>
          <w:sz w:val="24"/>
          <w:szCs w:val="24"/>
        </w:rPr>
      </w:pPr>
    </w:p>
    <w:p w:rsidR="006313A6" w:rsidRPr="006313A6" w:rsidRDefault="006313A6" w:rsidP="006313A6">
      <w:pPr>
        <w:pStyle w:val="Caption"/>
        <w:rPr>
          <w:rFonts w:asciiTheme="majorHAnsi" w:hAnsiTheme="majorHAnsi" w:cs="URWPalladioL-Roma"/>
          <w:sz w:val="22"/>
          <w:szCs w:val="22"/>
        </w:rPr>
      </w:pPr>
      <w:r w:rsidRPr="006313A6">
        <w:rPr>
          <w:sz w:val="22"/>
          <w:szCs w:val="22"/>
        </w:rPr>
        <w:lastRenderedPageBreak/>
        <w:t xml:space="preserve">Figure </w:t>
      </w:r>
      <w:r w:rsidRPr="006313A6">
        <w:rPr>
          <w:sz w:val="22"/>
          <w:szCs w:val="22"/>
        </w:rPr>
        <w:fldChar w:fldCharType="begin"/>
      </w:r>
      <w:r w:rsidRPr="006313A6">
        <w:rPr>
          <w:sz w:val="22"/>
          <w:szCs w:val="22"/>
        </w:rPr>
        <w:instrText xml:space="preserve"> SEQ Figure \* ARABIC </w:instrText>
      </w:r>
      <w:r w:rsidRPr="006313A6">
        <w:rPr>
          <w:sz w:val="22"/>
          <w:szCs w:val="22"/>
        </w:rPr>
        <w:fldChar w:fldCharType="separate"/>
      </w:r>
      <w:r w:rsidR="00765D35">
        <w:rPr>
          <w:noProof/>
          <w:sz w:val="22"/>
          <w:szCs w:val="22"/>
        </w:rPr>
        <w:t>11</w:t>
      </w:r>
      <w:r w:rsidRPr="006313A6">
        <w:rPr>
          <w:sz w:val="22"/>
          <w:szCs w:val="22"/>
        </w:rPr>
        <w:fldChar w:fldCharType="end"/>
      </w:r>
      <w:r w:rsidRPr="006313A6">
        <w:rPr>
          <w:sz w:val="22"/>
          <w:szCs w:val="22"/>
        </w:rPr>
        <w:t xml:space="preserve"> - Assurances of a life aged 25 required for hedging R1 of annuity at each age</w:t>
      </w:r>
    </w:p>
    <w:p w:rsidR="005E47B9" w:rsidRDefault="005E47B9" w:rsidP="005E47B9">
      <w:pPr>
        <w:spacing w:line="360" w:lineRule="auto"/>
        <w:jc w:val="center"/>
        <w:rPr>
          <w:rFonts w:asciiTheme="majorHAnsi" w:hAnsiTheme="majorHAnsi" w:cs="URWPalladioL-Roma"/>
          <w:sz w:val="24"/>
          <w:szCs w:val="24"/>
        </w:rPr>
      </w:pPr>
      <w:r w:rsidRPr="00CE6E87">
        <w:rPr>
          <w:rFonts w:asciiTheme="majorHAnsi" w:hAnsiTheme="majorHAnsi" w:cs="URWPalladioL-Roma"/>
          <w:noProof/>
          <w:sz w:val="24"/>
          <w:szCs w:val="24"/>
          <w:lang w:val="en-ZA" w:eastAsia="en-ZA"/>
        </w:rPr>
        <w:drawing>
          <wp:inline distT="0" distB="0" distL="0" distR="0" wp14:anchorId="036046DD" wp14:editId="1F8B46CE">
            <wp:extent cx="4494761" cy="2743200"/>
            <wp:effectExtent l="19050" t="0" r="20089"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E47B9" w:rsidRDefault="005E47B9" w:rsidP="005E47B9">
      <w:pPr>
        <w:spacing w:line="360" w:lineRule="auto"/>
        <w:jc w:val="both"/>
        <w:rPr>
          <w:rFonts w:asciiTheme="majorHAnsi" w:hAnsiTheme="majorHAnsi" w:cs="URWPalladioL-Roma"/>
          <w:sz w:val="24"/>
          <w:szCs w:val="24"/>
        </w:rPr>
      </w:pPr>
    </w:p>
    <w:p w:rsidR="005E47B9" w:rsidRDefault="005E47B9" w:rsidP="005E47B9">
      <w:pPr>
        <w:spacing w:line="360" w:lineRule="auto"/>
        <w:jc w:val="both"/>
        <w:rPr>
          <w:rFonts w:asciiTheme="majorHAnsi" w:hAnsiTheme="majorHAnsi" w:cs="URWPalladioL-Roma"/>
          <w:sz w:val="24"/>
          <w:szCs w:val="24"/>
        </w:rPr>
      </w:pPr>
      <w:r>
        <w:rPr>
          <w:rFonts w:asciiTheme="majorHAnsi" w:hAnsiTheme="majorHAnsi" w:cs="URWPalladioL-Roma"/>
          <w:sz w:val="24"/>
          <w:szCs w:val="24"/>
        </w:rPr>
        <w:t>This graph assumes a constant age of 25 for the assured life and different ages for the annuitant. If we keep the annuitant age constant and consider different ages for assured lives the LHR quantities are as follows:</w:t>
      </w:r>
    </w:p>
    <w:p w:rsidR="005E47B9" w:rsidRPr="0034589E" w:rsidRDefault="0034589E" w:rsidP="0034589E">
      <w:pPr>
        <w:pStyle w:val="Caption"/>
        <w:rPr>
          <w:rFonts w:asciiTheme="majorHAnsi" w:hAnsiTheme="majorHAnsi" w:cs="URWPalladioL-Roma"/>
          <w:sz w:val="22"/>
          <w:szCs w:val="22"/>
        </w:rPr>
      </w:pPr>
      <w:r w:rsidRPr="0034589E">
        <w:rPr>
          <w:sz w:val="22"/>
          <w:szCs w:val="22"/>
        </w:rPr>
        <w:t xml:space="preserve">Figure </w:t>
      </w:r>
      <w:r w:rsidRPr="0034589E">
        <w:rPr>
          <w:sz w:val="22"/>
          <w:szCs w:val="22"/>
        </w:rPr>
        <w:fldChar w:fldCharType="begin"/>
      </w:r>
      <w:r w:rsidRPr="0034589E">
        <w:rPr>
          <w:sz w:val="22"/>
          <w:szCs w:val="22"/>
        </w:rPr>
        <w:instrText xml:space="preserve"> SEQ Figure \* ARABIC </w:instrText>
      </w:r>
      <w:r w:rsidRPr="0034589E">
        <w:rPr>
          <w:sz w:val="22"/>
          <w:szCs w:val="22"/>
        </w:rPr>
        <w:fldChar w:fldCharType="separate"/>
      </w:r>
      <w:r w:rsidR="00765D35">
        <w:rPr>
          <w:noProof/>
          <w:sz w:val="22"/>
          <w:szCs w:val="22"/>
        </w:rPr>
        <w:t>12</w:t>
      </w:r>
      <w:r w:rsidRPr="0034589E">
        <w:rPr>
          <w:sz w:val="22"/>
          <w:szCs w:val="22"/>
        </w:rPr>
        <w:fldChar w:fldCharType="end"/>
      </w:r>
      <w:r w:rsidRPr="0034589E">
        <w:rPr>
          <w:sz w:val="22"/>
          <w:szCs w:val="22"/>
        </w:rPr>
        <w:t xml:space="preserve"> - Assurances required at each age to hedge a single 65 year old annuity</w:t>
      </w:r>
    </w:p>
    <w:p w:rsidR="005E47B9" w:rsidRDefault="005E47B9" w:rsidP="005E47B9">
      <w:pPr>
        <w:spacing w:line="360" w:lineRule="auto"/>
        <w:jc w:val="center"/>
        <w:rPr>
          <w:rFonts w:asciiTheme="majorHAnsi" w:hAnsiTheme="majorHAnsi" w:cs="URWPalladioL-Roma"/>
          <w:sz w:val="24"/>
          <w:szCs w:val="24"/>
        </w:rPr>
      </w:pPr>
      <w:r w:rsidRPr="00CE6E87">
        <w:rPr>
          <w:rFonts w:asciiTheme="majorHAnsi" w:hAnsiTheme="majorHAnsi" w:cs="URWPalladioL-Roma"/>
          <w:noProof/>
          <w:sz w:val="24"/>
          <w:szCs w:val="24"/>
          <w:lang w:val="en-ZA" w:eastAsia="en-ZA"/>
        </w:rPr>
        <w:drawing>
          <wp:inline distT="0" distB="0" distL="0" distR="0" wp14:anchorId="3D28215B" wp14:editId="479475B4">
            <wp:extent cx="4572000" cy="2745441"/>
            <wp:effectExtent l="19050" t="0" r="19050" b="0"/>
            <wp:docPr id="1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E47B9" w:rsidRDefault="005E47B9" w:rsidP="005E47B9">
      <w:pPr>
        <w:spacing w:line="360" w:lineRule="auto"/>
        <w:jc w:val="both"/>
        <w:rPr>
          <w:rFonts w:asciiTheme="majorHAnsi" w:hAnsiTheme="majorHAnsi" w:cs="URWPalladioL-Roma"/>
          <w:sz w:val="24"/>
          <w:szCs w:val="24"/>
        </w:rPr>
      </w:pPr>
    </w:p>
    <w:p w:rsidR="005E47B9" w:rsidRDefault="005E47B9" w:rsidP="005E47B9">
      <w:pPr>
        <w:spacing w:line="360" w:lineRule="auto"/>
        <w:jc w:val="both"/>
        <w:rPr>
          <w:rFonts w:asciiTheme="majorHAnsi" w:hAnsiTheme="majorHAnsi" w:cs="URWPalladioL-Roma"/>
          <w:sz w:val="24"/>
          <w:szCs w:val="24"/>
        </w:rPr>
      </w:pPr>
      <w:r>
        <w:rPr>
          <w:rFonts w:asciiTheme="majorHAnsi" w:hAnsiTheme="majorHAnsi" w:cs="URWPalladioL-Roma"/>
          <w:sz w:val="24"/>
          <w:szCs w:val="24"/>
        </w:rPr>
        <w:lastRenderedPageBreak/>
        <w:t>Putting them together gives the following graph:</w:t>
      </w:r>
    </w:p>
    <w:p w:rsidR="00765D35" w:rsidRPr="00765D35" w:rsidRDefault="00765D35" w:rsidP="00765D35">
      <w:pPr>
        <w:pStyle w:val="Caption"/>
        <w:rPr>
          <w:rFonts w:asciiTheme="majorHAnsi" w:hAnsiTheme="majorHAnsi" w:cs="URWPalladioL-Roma"/>
          <w:sz w:val="22"/>
          <w:szCs w:val="22"/>
        </w:rPr>
      </w:pPr>
      <w:r w:rsidRPr="00765D35">
        <w:rPr>
          <w:sz w:val="22"/>
          <w:szCs w:val="22"/>
        </w:rPr>
        <w:t xml:space="preserve">Figure </w:t>
      </w:r>
      <w:r w:rsidRPr="00765D35">
        <w:rPr>
          <w:sz w:val="22"/>
          <w:szCs w:val="22"/>
        </w:rPr>
        <w:fldChar w:fldCharType="begin"/>
      </w:r>
      <w:r w:rsidRPr="00765D35">
        <w:rPr>
          <w:sz w:val="22"/>
          <w:szCs w:val="22"/>
        </w:rPr>
        <w:instrText xml:space="preserve"> SEQ Figure \* ARABIC </w:instrText>
      </w:r>
      <w:r w:rsidRPr="00765D35">
        <w:rPr>
          <w:sz w:val="22"/>
          <w:szCs w:val="22"/>
        </w:rPr>
        <w:fldChar w:fldCharType="separate"/>
      </w:r>
      <w:r>
        <w:rPr>
          <w:noProof/>
          <w:sz w:val="22"/>
          <w:szCs w:val="22"/>
        </w:rPr>
        <w:t>13</w:t>
      </w:r>
      <w:r w:rsidRPr="00765D35">
        <w:rPr>
          <w:sz w:val="22"/>
          <w:szCs w:val="22"/>
        </w:rPr>
        <w:fldChar w:fldCharType="end"/>
      </w:r>
      <w:r w:rsidRPr="00765D35">
        <w:rPr>
          <w:sz w:val="22"/>
          <w:szCs w:val="22"/>
        </w:rPr>
        <w:t xml:space="preserve"> - # Assurances to hedge for different annuity and assurance ages</w:t>
      </w:r>
    </w:p>
    <w:p w:rsidR="005E47B9" w:rsidRDefault="005E47B9" w:rsidP="005E47B9">
      <w:pPr>
        <w:spacing w:line="360" w:lineRule="auto"/>
        <w:jc w:val="center"/>
        <w:rPr>
          <w:rFonts w:asciiTheme="majorHAnsi" w:hAnsiTheme="majorHAnsi" w:cs="URWPalladioL-Roma"/>
          <w:sz w:val="24"/>
          <w:szCs w:val="24"/>
        </w:rPr>
      </w:pPr>
      <w:r>
        <w:rPr>
          <w:rFonts w:asciiTheme="majorHAnsi" w:hAnsiTheme="majorHAnsi" w:cs="URWPalladioL-Roma"/>
          <w:noProof/>
          <w:sz w:val="24"/>
          <w:szCs w:val="24"/>
          <w:lang w:val="en-ZA" w:eastAsia="en-ZA"/>
        </w:rPr>
        <w:drawing>
          <wp:inline distT="0" distB="0" distL="0" distR="0" wp14:anchorId="25744579" wp14:editId="7899E694">
            <wp:extent cx="4707255" cy="2854325"/>
            <wp:effectExtent l="0" t="0" r="0" b="0"/>
            <wp:docPr id="5" name="Object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09664" cy="4714908"/>
                      <a:chOff x="285720" y="1142984"/>
                      <a:chExt cx="7409664" cy="4714908"/>
                    </a:xfrm>
                  </a:grpSpPr>
                  <a:pic>
                    <a:nvPicPr>
                      <a:cNvPr id="8" name="Picture 3"/>
                      <a:cNvPicPr>
                        <a:picLocks noChangeAspect="1" noChangeArrowheads="1"/>
                      </a:cNvPicPr>
                    </a:nvPicPr>
                    <a:blipFill>
                      <a:blip r:embed="rId26"/>
                      <a:srcRect/>
                      <a:stretch>
                        <a:fillRect/>
                      </a:stretch>
                    </a:blipFill>
                    <a:spPr bwMode="auto">
                      <a:xfrm>
                        <a:off x="785786" y="1142984"/>
                        <a:ext cx="6735084" cy="4714908"/>
                      </a:xfrm>
                      <a:prstGeom prst="rect">
                        <a:avLst/>
                      </a:prstGeom>
                      <a:noFill/>
                      <a:ln w="9525">
                        <a:noFill/>
                        <a:miter lim="800000"/>
                        <a:headEnd/>
                        <a:tailEnd/>
                      </a:ln>
                      <a:effectLst/>
                    </a:spPr>
                  </a:pic>
                  <a:sp>
                    <a:nvSpPr>
                      <a:cNvPr id="9" name="TextBox 8"/>
                      <a:cNvSpPr txBox="1"/>
                    </a:nvSpPr>
                    <a:spPr>
                      <a:xfrm>
                        <a:off x="285720" y="2928934"/>
                        <a:ext cx="1109599" cy="707886"/>
                      </a:xfrm>
                      <a:prstGeom prst="rect">
                        <a:avLst/>
                      </a:prstGeom>
                      <a:noFill/>
                    </a:spPr>
                    <a:txSp>
                      <a:txBody>
                        <a:bodyPr wrap="none" rtlCol="0">
                          <a:spAutoFit/>
                        </a:bodyPr>
                        <a:lstStyle>
                          <a:defPPr>
                            <a:defRPr lang="en-US"/>
                          </a:defPPr>
                          <a:lvl1pPr algn="l" rtl="0" fontAlgn="base">
                            <a:spcBef>
                              <a:spcPct val="0"/>
                            </a:spcBef>
                            <a:spcAft>
                              <a:spcPct val="0"/>
                            </a:spcAft>
                            <a:defRPr sz="1600" kern="1200">
                              <a:solidFill>
                                <a:schemeClr val="tx1"/>
                              </a:solidFill>
                              <a:latin typeface="Felix Titling" pitchFamily="82" charset="0"/>
                              <a:ea typeface="+mn-ea"/>
                              <a:cs typeface="+mn-cs"/>
                            </a:defRPr>
                          </a:lvl1pPr>
                          <a:lvl2pPr marL="457200" algn="l" rtl="0" fontAlgn="base">
                            <a:spcBef>
                              <a:spcPct val="0"/>
                            </a:spcBef>
                            <a:spcAft>
                              <a:spcPct val="0"/>
                            </a:spcAft>
                            <a:defRPr sz="1600" kern="1200">
                              <a:solidFill>
                                <a:schemeClr val="tx1"/>
                              </a:solidFill>
                              <a:latin typeface="Felix Titling" pitchFamily="82" charset="0"/>
                              <a:ea typeface="+mn-ea"/>
                              <a:cs typeface="+mn-cs"/>
                            </a:defRPr>
                          </a:lvl2pPr>
                          <a:lvl3pPr marL="914400" algn="l" rtl="0" fontAlgn="base">
                            <a:spcBef>
                              <a:spcPct val="0"/>
                            </a:spcBef>
                            <a:spcAft>
                              <a:spcPct val="0"/>
                            </a:spcAft>
                            <a:defRPr sz="1600" kern="1200">
                              <a:solidFill>
                                <a:schemeClr val="tx1"/>
                              </a:solidFill>
                              <a:latin typeface="Felix Titling" pitchFamily="82" charset="0"/>
                              <a:ea typeface="+mn-ea"/>
                              <a:cs typeface="+mn-cs"/>
                            </a:defRPr>
                          </a:lvl3pPr>
                          <a:lvl4pPr marL="1371600" algn="l" rtl="0" fontAlgn="base">
                            <a:spcBef>
                              <a:spcPct val="0"/>
                            </a:spcBef>
                            <a:spcAft>
                              <a:spcPct val="0"/>
                            </a:spcAft>
                            <a:defRPr sz="1600" kern="1200">
                              <a:solidFill>
                                <a:schemeClr val="tx1"/>
                              </a:solidFill>
                              <a:latin typeface="Felix Titling" pitchFamily="82" charset="0"/>
                              <a:ea typeface="+mn-ea"/>
                              <a:cs typeface="+mn-cs"/>
                            </a:defRPr>
                          </a:lvl4pPr>
                          <a:lvl5pPr marL="1828800" algn="l" rtl="0" fontAlgn="base">
                            <a:spcBef>
                              <a:spcPct val="0"/>
                            </a:spcBef>
                            <a:spcAft>
                              <a:spcPct val="0"/>
                            </a:spcAft>
                            <a:defRPr sz="1600" kern="1200">
                              <a:solidFill>
                                <a:schemeClr val="tx1"/>
                              </a:solidFill>
                              <a:latin typeface="Felix Titling" pitchFamily="82" charset="0"/>
                              <a:ea typeface="+mn-ea"/>
                              <a:cs typeface="+mn-cs"/>
                            </a:defRPr>
                          </a:lvl5pPr>
                          <a:lvl6pPr marL="2286000" algn="l" defTabSz="914400" rtl="0" eaLnBrk="1" latinLnBrk="0" hangingPunct="1">
                            <a:defRPr sz="1600" kern="1200">
                              <a:solidFill>
                                <a:schemeClr val="tx1"/>
                              </a:solidFill>
                              <a:latin typeface="Felix Titling" pitchFamily="82" charset="0"/>
                              <a:ea typeface="+mn-ea"/>
                              <a:cs typeface="+mn-cs"/>
                            </a:defRPr>
                          </a:lvl6pPr>
                          <a:lvl7pPr marL="2743200" algn="l" defTabSz="914400" rtl="0" eaLnBrk="1" latinLnBrk="0" hangingPunct="1">
                            <a:defRPr sz="1600" kern="1200">
                              <a:solidFill>
                                <a:schemeClr val="tx1"/>
                              </a:solidFill>
                              <a:latin typeface="Felix Titling" pitchFamily="82" charset="0"/>
                              <a:ea typeface="+mn-ea"/>
                              <a:cs typeface="+mn-cs"/>
                            </a:defRPr>
                          </a:lvl7pPr>
                          <a:lvl8pPr marL="3200400" algn="l" defTabSz="914400" rtl="0" eaLnBrk="1" latinLnBrk="0" hangingPunct="1">
                            <a:defRPr sz="1600" kern="1200">
                              <a:solidFill>
                                <a:schemeClr val="tx1"/>
                              </a:solidFill>
                              <a:latin typeface="Felix Titling" pitchFamily="82" charset="0"/>
                              <a:ea typeface="+mn-ea"/>
                              <a:cs typeface="+mn-cs"/>
                            </a:defRPr>
                          </a:lvl8pPr>
                          <a:lvl9pPr marL="3657600" algn="l" defTabSz="914400" rtl="0" eaLnBrk="1" latinLnBrk="0" hangingPunct="1">
                            <a:defRPr sz="1600" kern="1200">
                              <a:solidFill>
                                <a:schemeClr val="tx1"/>
                              </a:solidFill>
                              <a:latin typeface="Felix Titling" pitchFamily="82" charset="0"/>
                              <a:ea typeface="+mn-ea"/>
                              <a:cs typeface="+mn-cs"/>
                            </a:defRPr>
                          </a:lvl9pPr>
                        </a:lstStyle>
                        <a:p>
                          <a:r>
                            <a:rPr lang="en-US" sz="2000" dirty="0" smtClean="0">
                              <a:solidFill>
                                <a:srgbClr val="50504C"/>
                              </a:solidFill>
                              <a:latin typeface="Arial" pitchFamily="34" charset="0"/>
                              <a:cs typeface="Arial" pitchFamily="34" charset="0"/>
                            </a:rPr>
                            <a:t>Numbers </a:t>
                          </a:r>
                          <a:br>
                            <a:rPr lang="en-US" sz="2000" dirty="0" smtClean="0">
                              <a:solidFill>
                                <a:srgbClr val="50504C"/>
                              </a:solidFill>
                              <a:latin typeface="Arial" pitchFamily="34" charset="0"/>
                              <a:cs typeface="Arial" pitchFamily="34" charset="0"/>
                            </a:rPr>
                          </a:br>
                          <a:r>
                            <a:rPr lang="en-US" sz="2000" dirty="0" smtClean="0">
                              <a:solidFill>
                                <a:srgbClr val="50504C"/>
                              </a:solidFill>
                              <a:latin typeface="Arial" pitchFamily="34" charset="0"/>
                              <a:cs typeface="Arial" pitchFamily="34" charset="0"/>
                            </a:rPr>
                            <a:t>Required</a:t>
                          </a:r>
                          <a:endParaRPr lang="en-US" sz="2000" dirty="0">
                            <a:solidFill>
                              <a:srgbClr val="50504C"/>
                            </a:solidFill>
                            <a:latin typeface="Arial" pitchFamily="34" charset="0"/>
                            <a:cs typeface="Arial" pitchFamily="34" charset="0"/>
                          </a:endParaRPr>
                        </a:p>
                      </a:txBody>
                      <a:useSpRect/>
                    </a:txSp>
                  </a:sp>
                  <a:sp>
                    <a:nvSpPr>
                      <a:cNvPr id="10" name="TextBox 9"/>
                      <a:cNvSpPr txBox="1"/>
                    </a:nvSpPr>
                    <a:spPr>
                      <a:xfrm>
                        <a:off x="2714612" y="5429264"/>
                        <a:ext cx="1420582" cy="400110"/>
                      </a:xfrm>
                      <a:prstGeom prst="rect">
                        <a:avLst/>
                      </a:prstGeom>
                      <a:noFill/>
                    </a:spPr>
                    <a:txSp>
                      <a:txBody>
                        <a:bodyPr wrap="none" rtlCol="0">
                          <a:spAutoFit/>
                        </a:bodyPr>
                        <a:lstStyle>
                          <a:defPPr>
                            <a:defRPr lang="en-US"/>
                          </a:defPPr>
                          <a:lvl1pPr algn="l" rtl="0" fontAlgn="base">
                            <a:spcBef>
                              <a:spcPct val="0"/>
                            </a:spcBef>
                            <a:spcAft>
                              <a:spcPct val="0"/>
                            </a:spcAft>
                            <a:defRPr sz="1600" kern="1200">
                              <a:solidFill>
                                <a:schemeClr val="tx1"/>
                              </a:solidFill>
                              <a:latin typeface="Felix Titling" pitchFamily="82" charset="0"/>
                              <a:ea typeface="+mn-ea"/>
                              <a:cs typeface="+mn-cs"/>
                            </a:defRPr>
                          </a:lvl1pPr>
                          <a:lvl2pPr marL="457200" algn="l" rtl="0" fontAlgn="base">
                            <a:spcBef>
                              <a:spcPct val="0"/>
                            </a:spcBef>
                            <a:spcAft>
                              <a:spcPct val="0"/>
                            </a:spcAft>
                            <a:defRPr sz="1600" kern="1200">
                              <a:solidFill>
                                <a:schemeClr val="tx1"/>
                              </a:solidFill>
                              <a:latin typeface="Felix Titling" pitchFamily="82" charset="0"/>
                              <a:ea typeface="+mn-ea"/>
                              <a:cs typeface="+mn-cs"/>
                            </a:defRPr>
                          </a:lvl2pPr>
                          <a:lvl3pPr marL="914400" algn="l" rtl="0" fontAlgn="base">
                            <a:spcBef>
                              <a:spcPct val="0"/>
                            </a:spcBef>
                            <a:spcAft>
                              <a:spcPct val="0"/>
                            </a:spcAft>
                            <a:defRPr sz="1600" kern="1200">
                              <a:solidFill>
                                <a:schemeClr val="tx1"/>
                              </a:solidFill>
                              <a:latin typeface="Felix Titling" pitchFamily="82" charset="0"/>
                              <a:ea typeface="+mn-ea"/>
                              <a:cs typeface="+mn-cs"/>
                            </a:defRPr>
                          </a:lvl3pPr>
                          <a:lvl4pPr marL="1371600" algn="l" rtl="0" fontAlgn="base">
                            <a:spcBef>
                              <a:spcPct val="0"/>
                            </a:spcBef>
                            <a:spcAft>
                              <a:spcPct val="0"/>
                            </a:spcAft>
                            <a:defRPr sz="1600" kern="1200">
                              <a:solidFill>
                                <a:schemeClr val="tx1"/>
                              </a:solidFill>
                              <a:latin typeface="Felix Titling" pitchFamily="82" charset="0"/>
                              <a:ea typeface="+mn-ea"/>
                              <a:cs typeface="+mn-cs"/>
                            </a:defRPr>
                          </a:lvl4pPr>
                          <a:lvl5pPr marL="1828800" algn="l" rtl="0" fontAlgn="base">
                            <a:spcBef>
                              <a:spcPct val="0"/>
                            </a:spcBef>
                            <a:spcAft>
                              <a:spcPct val="0"/>
                            </a:spcAft>
                            <a:defRPr sz="1600" kern="1200">
                              <a:solidFill>
                                <a:schemeClr val="tx1"/>
                              </a:solidFill>
                              <a:latin typeface="Felix Titling" pitchFamily="82" charset="0"/>
                              <a:ea typeface="+mn-ea"/>
                              <a:cs typeface="+mn-cs"/>
                            </a:defRPr>
                          </a:lvl5pPr>
                          <a:lvl6pPr marL="2286000" algn="l" defTabSz="914400" rtl="0" eaLnBrk="1" latinLnBrk="0" hangingPunct="1">
                            <a:defRPr sz="1600" kern="1200">
                              <a:solidFill>
                                <a:schemeClr val="tx1"/>
                              </a:solidFill>
                              <a:latin typeface="Felix Titling" pitchFamily="82" charset="0"/>
                              <a:ea typeface="+mn-ea"/>
                              <a:cs typeface="+mn-cs"/>
                            </a:defRPr>
                          </a:lvl6pPr>
                          <a:lvl7pPr marL="2743200" algn="l" defTabSz="914400" rtl="0" eaLnBrk="1" latinLnBrk="0" hangingPunct="1">
                            <a:defRPr sz="1600" kern="1200">
                              <a:solidFill>
                                <a:schemeClr val="tx1"/>
                              </a:solidFill>
                              <a:latin typeface="Felix Titling" pitchFamily="82" charset="0"/>
                              <a:ea typeface="+mn-ea"/>
                              <a:cs typeface="+mn-cs"/>
                            </a:defRPr>
                          </a:lvl7pPr>
                          <a:lvl8pPr marL="3200400" algn="l" defTabSz="914400" rtl="0" eaLnBrk="1" latinLnBrk="0" hangingPunct="1">
                            <a:defRPr sz="1600" kern="1200">
                              <a:solidFill>
                                <a:schemeClr val="tx1"/>
                              </a:solidFill>
                              <a:latin typeface="Felix Titling" pitchFamily="82" charset="0"/>
                              <a:ea typeface="+mn-ea"/>
                              <a:cs typeface="+mn-cs"/>
                            </a:defRPr>
                          </a:lvl8pPr>
                          <a:lvl9pPr marL="3657600" algn="l" defTabSz="914400" rtl="0" eaLnBrk="1" latinLnBrk="0" hangingPunct="1">
                            <a:defRPr sz="1600" kern="1200">
                              <a:solidFill>
                                <a:schemeClr val="tx1"/>
                              </a:solidFill>
                              <a:latin typeface="Felix Titling" pitchFamily="82" charset="0"/>
                              <a:ea typeface="+mn-ea"/>
                              <a:cs typeface="+mn-cs"/>
                            </a:defRPr>
                          </a:lvl9pPr>
                        </a:lstStyle>
                        <a:p>
                          <a:r>
                            <a:rPr lang="en-US" sz="2000" dirty="0" smtClean="0">
                              <a:solidFill>
                                <a:srgbClr val="50504C"/>
                              </a:solidFill>
                              <a:latin typeface="Arial" pitchFamily="34" charset="0"/>
                              <a:cs typeface="Arial" pitchFamily="34" charset="0"/>
                            </a:rPr>
                            <a:t>Annuity ages</a:t>
                          </a:r>
                          <a:endParaRPr lang="en-US" sz="2000" dirty="0">
                            <a:solidFill>
                              <a:srgbClr val="50504C"/>
                            </a:solidFill>
                            <a:latin typeface="Arial" pitchFamily="34" charset="0"/>
                            <a:cs typeface="Arial" pitchFamily="34" charset="0"/>
                          </a:endParaRPr>
                        </a:p>
                      </a:txBody>
                      <a:useSpRect/>
                    </a:txSp>
                  </a:sp>
                  <a:sp>
                    <a:nvSpPr>
                      <a:cNvPr id="11" name="TextBox 10"/>
                      <a:cNvSpPr txBox="1"/>
                    </a:nvSpPr>
                    <a:spPr>
                      <a:xfrm>
                        <a:off x="6500826" y="4714884"/>
                        <a:ext cx="1194558" cy="707886"/>
                      </a:xfrm>
                      <a:prstGeom prst="rect">
                        <a:avLst/>
                      </a:prstGeom>
                      <a:noFill/>
                    </a:spPr>
                    <a:txSp>
                      <a:txBody>
                        <a:bodyPr wrap="none" rtlCol="0">
                          <a:spAutoFit/>
                        </a:bodyPr>
                        <a:lstStyle>
                          <a:defPPr>
                            <a:defRPr lang="en-US"/>
                          </a:defPPr>
                          <a:lvl1pPr algn="l" rtl="0" fontAlgn="base">
                            <a:spcBef>
                              <a:spcPct val="0"/>
                            </a:spcBef>
                            <a:spcAft>
                              <a:spcPct val="0"/>
                            </a:spcAft>
                            <a:defRPr sz="1600" kern="1200">
                              <a:solidFill>
                                <a:schemeClr val="tx1"/>
                              </a:solidFill>
                              <a:latin typeface="Felix Titling" pitchFamily="82" charset="0"/>
                              <a:ea typeface="+mn-ea"/>
                              <a:cs typeface="+mn-cs"/>
                            </a:defRPr>
                          </a:lvl1pPr>
                          <a:lvl2pPr marL="457200" algn="l" rtl="0" fontAlgn="base">
                            <a:spcBef>
                              <a:spcPct val="0"/>
                            </a:spcBef>
                            <a:spcAft>
                              <a:spcPct val="0"/>
                            </a:spcAft>
                            <a:defRPr sz="1600" kern="1200">
                              <a:solidFill>
                                <a:schemeClr val="tx1"/>
                              </a:solidFill>
                              <a:latin typeface="Felix Titling" pitchFamily="82" charset="0"/>
                              <a:ea typeface="+mn-ea"/>
                              <a:cs typeface="+mn-cs"/>
                            </a:defRPr>
                          </a:lvl2pPr>
                          <a:lvl3pPr marL="914400" algn="l" rtl="0" fontAlgn="base">
                            <a:spcBef>
                              <a:spcPct val="0"/>
                            </a:spcBef>
                            <a:spcAft>
                              <a:spcPct val="0"/>
                            </a:spcAft>
                            <a:defRPr sz="1600" kern="1200">
                              <a:solidFill>
                                <a:schemeClr val="tx1"/>
                              </a:solidFill>
                              <a:latin typeface="Felix Titling" pitchFamily="82" charset="0"/>
                              <a:ea typeface="+mn-ea"/>
                              <a:cs typeface="+mn-cs"/>
                            </a:defRPr>
                          </a:lvl3pPr>
                          <a:lvl4pPr marL="1371600" algn="l" rtl="0" fontAlgn="base">
                            <a:spcBef>
                              <a:spcPct val="0"/>
                            </a:spcBef>
                            <a:spcAft>
                              <a:spcPct val="0"/>
                            </a:spcAft>
                            <a:defRPr sz="1600" kern="1200">
                              <a:solidFill>
                                <a:schemeClr val="tx1"/>
                              </a:solidFill>
                              <a:latin typeface="Felix Titling" pitchFamily="82" charset="0"/>
                              <a:ea typeface="+mn-ea"/>
                              <a:cs typeface="+mn-cs"/>
                            </a:defRPr>
                          </a:lvl4pPr>
                          <a:lvl5pPr marL="1828800" algn="l" rtl="0" fontAlgn="base">
                            <a:spcBef>
                              <a:spcPct val="0"/>
                            </a:spcBef>
                            <a:spcAft>
                              <a:spcPct val="0"/>
                            </a:spcAft>
                            <a:defRPr sz="1600" kern="1200">
                              <a:solidFill>
                                <a:schemeClr val="tx1"/>
                              </a:solidFill>
                              <a:latin typeface="Felix Titling" pitchFamily="82" charset="0"/>
                              <a:ea typeface="+mn-ea"/>
                              <a:cs typeface="+mn-cs"/>
                            </a:defRPr>
                          </a:lvl5pPr>
                          <a:lvl6pPr marL="2286000" algn="l" defTabSz="914400" rtl="0" eaLnBrk="1" latinLnBrk="0" hangingPunct="1">
                            <a:defRPr sz="1600" kern="1200">
                              <a:solidFill>
                                <a:schemeClr val="tx1"/>
                              </a:solidFill>
                              <a:latin typeface="Felix Titling" pitchFamily="82" charset="0"/>
                              <a:ea typeface="+mn-ea"/>
                              <a:cs typeface="+mn-cs"/>
                            </a:defRPr>
                          </a:lvl6pPr>
                          <a:lvl7pPr marL="2743200" algn="l" defTabSz="914400" rtl="0" eaLnBrk="1" latinLnBrk="0" hangingPunct="1">
                            <a:defRPr sz="1600" kern="1200">
                              <a:solidFill>
                                <a:schemeClr val="tx1"/>
                              </a:solidFill>
                              <a:latin typeface="Felix Titling" pitchFamily="82" charset="0"/>
                              <a:ea typeface="+mn-ea"/>
                              <a:cs typeface="+mn-cs"/>
                            </a:defRPr>
                          </a:lvl7pPr>
                          <a:lvl8pPr marL="3200400" algn="l" defTabSz="914400" rtl="0" eaLnBrk="1" latinLnBrk="0" hangingPunct="1">
                            <a:defRPr sz="1600" kern="1200">
                              <a:solidFill>
                                <a:schemeClr val="tx1"/>
                              </a:solidFill>
                              <a:latin typeface="Felix Titling" pitchFamily="82" charset="0"/>
                              <a:ea typeface="+mn-ea"/>
                              <a:cs typeface="+mn-cs"/>
                            </a:defRPr>
                          </a:lvl8pPr>
                          <a:lvl9pPr marL="3657600" algn="l" defTabSz="914400" rtl="0" eaLnBrk="1" latinLnBrk="0" hangingPunct="1">
                            <a:defRPr sz="1600" kern="1200">
                              <a:solidFill>
                                <a:schemeClr val="tx1"/>
                              </a:solidFill>
                              <a:latin typeface="Felix Titling" pitchFamily="82" charset="0"/>
                              <a:ea typeface="+mn-ea"/>
                              <a:cs typeface="+mn-cs"/>
                            </a:defRPr>
                          </a:lvl9pPr>
                        </a:lstStyle>
                        <a:p>
                          <a:r>
                            <a:rPr lang="en-US" sz="2000" dirty="0" smtClean="0">
                              <a:solidFill>
                                <a:srgbClr val="50504C"/>
                              </a:solidFill>
                              <a:latin typeface="Arial" pitchFamily="34" charset="0"/>
                              <a:cs typeface="Arial" pitchFamily="34" charset="0"/>
                            </a:rPr>
                            <a:t>Assurance</a:t>
                          </a:r>
                          <a:br>
                            <a:rPr lang="en-US" sz="2000" dirty="0" smtClean="0">
                              <a:solidFill>
                                <a:srgbClr val="50504C"/>
                              </a:solidFill>
                              <a:latin typeface="Arial" pitchFamily="34" charset="0"/>
                              <a:cs typeface="Arial" pitchFamily="34" charset="0"/>
                            </a:rPr>
                          </a:br>
                          <a:r>
                            <a:rPr lang="en-US" sz="2000" dirty="0" smtClean="0">
                              <a:solidFill>
                                <a:srgbClr val="50504C"/>
                              </a:solidFill>
                              <a:latin typeface="Arial" pitchFamily="34" charset="0"/>
                              <a:cs typeface="Arial" pitchFamily="34" charset="0"/>
                            </a:rPr>
                            <a:t>ages</a:t>
                          </a:r>
                          <a:endParaRPr lang="en-US" sz="2000" dirty="0">
                            <a:solidFill>
                              <a:srgbClr val="50504C"/>
                            </a:solidFill>
                            <a:latin typeface="Arial" pitchFamily="34" charset="0"/>
                            <a:cs typeface="Arial" pitchFamily="34" charset="0"/>
                          </a:endParaRPr>
                        </a:p>
                      </a:txBody>
                      <a:useSpRect/>
                    </a:txSp>
                  </a:sp>
                </lc:lockedCanvas>
              </a:graphicData>
            </a:graphic>
          </wp:inline>
        </w:drawing>
      </w:r>
    </w:p>
    <w:p w:rsidR="005E47B9" w:rsidRDefault="005E47B9" w:rsidP="005E47B9">
      <w:pPr>
        <w:spacing w:line="360" w:lineRule="auto"/>
        <w:jc w:val="both"/>
        <w:rPr>
          <w:rFonts w:asciiTheme="majorHAnsi" w:hAnsiTheme="majorHAnsi" w:cs="URWPalladioL-Roma"/>
          <w:sz w:val="24"/>
          <w:szCs w:val="24"/>
        </w:rPr>
      </w:pPr>
    </w:p>
    <w:p w:rsidR="005E47B9" w:rsidRDefault="005E47B9" w:rsidP="005E47B9">
      <w:pPr>
        <w:spacing w:line="360" w:lineRule="auto"/>
        <w:jc w:val="both"/>
        <w:rPr>
          <w:rFonts w:asciiTheme="majorHAnsi" w:hAnsiTheme="majorHAnsi" w:cs="URWPalladioL-Roma"/>
          <w:sz w:val="24"/>
          <w:szCs w:val="24"/>
        </w:rPr>
      </w:pPr>
      <w:r>
        <w:rPr>
          <w:rFonts w:asciiTheme="majorHAnsi" w:hAnsiTheme="majorHAnsi" w:cs="URWPalladioL-Roma"/>
          <w:sz w:val="24"/>
          <w:szCs w:val="24"/>
        </w:rPr>
        <w:t>Thus, if we would like to hedge an annuity portfolio with an assurance portfolio, we can simply calculate the average ages and average amounts, calculate the LHR based on those and hedge on a portfolio basis.  We would however need sufficiently large numbers of policies to make it stable, or even make the smoothing of cash-flows due to the hedge visible.  A practical example will show this clearly.  If we make use of a portfolio of 10000 assurances uniformly distributed between R500k and R3.5m with average age 45 then a 1% improvement may do the following to cash-flows:</w:t>
      </w:r>
    </w:p>
    <w:p w:rsidR="005E47B9" w:rsidRDefault="005E47B9" w:rsidP="005E47B9">
      <w:pPr>
        <w:spacing w:line="360" w:lineRule="auto"/>
        <w:jc w:val="both"/>
        <w:rPr>
          <w:rFonts w:asciiTheme="majorHAnsi" w:hAnsiTheme="majorHAnsi" w:cs="URWPalladioL-Roma"/>
          <w:sz w:val="24"/>
          <w:szCs w:val="24"/>
        </w:rPr>
      </w:pPr>
    </w:p>
    <w:p w:rsidR="00765D35" w:rsidRDefault="00765D35" w:rsidP="005E47B9">
      <w:pPr>
        <w:spacing w:line="360" w:lineRule="auto"/>
        <w:jc w:val="center"/>
        <w:rPr>
          <w:rFonts w:asciiTheme="majorHAnsi" w:hAnsiTheme="majorHAnsi" w:cs="URWPalladioL-Roma"/>
          <w:sz w:val="24"/>
          <w:szCs w:val="24"/>
        </w:rPr>
      </w:pPr>
    </w:p>
    <w:p w:rsidR="00765D35" w:rsidRDefault="00765D35" w:rsidP="005E47B9">
      <w:pPr>
        <w:spacing w:line="360" w:lineRule="auto"/>
        <w:jc w:val="center"/>
        <w:rPr>
          <w:rFonts w:asciiTheme="majorHAnsi" w:hAnsiTheme="majorHAnsi" w:cs="URWPalladioL-Roma"/>
          <w:sz w:val="24"/>
          <w:szCs w:val="24"/>
        </w:rPr>
      </w:pPr>
    </w:p>
    <w:p w:rsidR="00765D35" w:rsidRDefault="00765D35" w:rsidP="005E47B9">
      <w:pPr>
        <w:spacing w:line="360" w:lineRule="auto"/>
        <w:jc w:val="center"/>
        <w:rPr>
          <w:rFonts w:asciiTheme="majorHAnsi" w:hAnsiTheme="majorHAnsi" w:cs="URWPalladioL-Roma"/>
          <w:sz w:val="24"/>
          <w:szCs w:val="24"/>
        </w:rPr>
      </w:pPr>
    </w:p>
    <w:p w:rsidR="00765D35" w:rsidRDefault="00765D35" w:rsidP="005E47B9">
      <w:pPr>
        <w:spacing w:line="360" w:lineRule="auto"/>
        <w:jc w:val="center"/>
        <w:rPr>
          <w:rFonts w:asciiTheme="majorHAnsi" w:hAnsiTheme="majorHAnsi" w:cs="URWPalladioL-Roma"/>
          <w:sz w:val="24"/>
          <w:szCs w:val="24"/>
        </w:rPr>
      </w:pPr>
    </w:p>
    <w:p w:rsidR="00765D35" w:rsidRPr="00765D35" w:rsidRDefault="00765D35" w:rsidP="00765D35">
      <w:pPr>
        <w:pStyle w:val="Caption"/>
        <w:rPr>
          <w:rFonts w:asciiTheme="majorHAnsi" w:hAnsiTheme="majorHAnsi" w:cs="URWPalladioL-Roma"/>
          <w:sz w:val="22"/>
          <w:szCs w:val="22"/>
        </w:rPr>
      </w:pPr>
      <w:r w:rsidRPr="00765D35">
        <w:rPr>
          <w:sz w:val="22"/>
          <w:szCs w:val="22"/>
        </w:rPr>
        <w:lastRenderedPageBreak/>
        <w:t xml:space="preserve">Figure </w:t>
      </w:r>
      <w:r w:rsidRPr="00765D35">
        <w:rPr>
          <w:sz w:val="22"/>
          <w:szCs w:val="22"/>
        </w:rPr>
        <w:fldChar w:fldCharType="begin"/>
      </w:r>
      <w:r w:rsidRPr="00765D35">
        <w:rPr>
          <w:sz w:val="22"/>
          <w:szCs w:val="22"/>
        </w:rPr>
        <w:instrText xml:space="preserve"> SEQ Figure \* ARABIC </w:instrText>
      </w:r>
      <w:r w:rsidRPr="00765D35">
        <w:rPr>
          <w:sz w:val="22"/>
          <w:szCs w:val="22"/>
        </w:rPr>
        <w:fldChar w:fldCharType="separate"/>
      </w:r>
      <w:r>
        <w:rPr>
          <w:noProof/>
          <w:sz w:val="22"/>
          <w:szCs w:val="22"/>
        </w:rPr>
        <w:t>14</w:t>
      </w:r>
      <w:r w:rsidRPr="00765D35">
        <w:rPr>
          <w:sz w:val="22"/>
          <w:szCs w:val="22"/>
        </w:rPr>
        <w:fldChar w:fldCharType="end"/>
      </w:r>
      <w:r w:rsidRPr="00765D35">
        <w:rPr>
          <w:sz w:val="22"/>
          <w:szCs w:val="22"/>
        </w:rPr>
        <w:t xml:space="preserve"> - </w:t>
      </w:r>
      <w:r>
        <w:rPr>
          <w:sz w:val="22"/>
          <w:szCs w:val="22"/>
        </w:rPr>
        <w:t>Cash-flow simulation</w:t>
      </w:r>
      <w:r w:rsidRPr="00765D35">
        <w:rPr>
          <w:sz w:val="22"/>
          <w:szCs w:val="22"/>
        </w:rPr>
        <w:t xml:space="preserve"> for a portfolio of assurances for different longevity improvements</w:t>
      </w:r>
    </w:p>
    <w:p w:rsidR="005E47B9" w:rsidRDefault="005E47B9" w:rsidP="005E47B9">
      <w:pPr>
        <w:spacing w:line="360" w:lineRule="auto"/>
        <w:jc w:val="center"/>
        <w:rPr>
          <w:rFonts w:asciiTheme="majorHAnsi" w:hAnsiTheme="majorHAnsi" w:cs="URWPalladioL-Roma"/>
          <w:sz w:val="24"/>
          <w:szCs w:val="24"/>
        </w:rPr>
      </w:pPr>
      <w:r w:rsidRPr="00356E0C">
        <w:rPr>
          <w:rFonts w:asciiTheme="majorHAnsi" w:hAnsiTheme="majorHAnsi" w:cs="URWPalladioL-Roma"/>
          <w:noProof/>
          <w:sz w:val="24"/>
          <w:szCs w:val="24"/>
          <w:lang w:val="en-ZA" w:eastAsia="en-ZA"/>
        </w:rPr>
        <w:drawing>
          <wp:inline distT="0" distB="0" distL="0" distR="0" wp14:anchorId="432FC1BD" wp14:editId="1A2840CF">
            <wp:extent cx="4594629" cy="2618509"/>
            <wp:effectExtent l="19050" t="0" r="15471"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E47B9" w:rsidRDefault="005E47B9" w:rsidP="005E47B9">
      <w:pPr>
        <w:spacing w:line="360" w:lineRule="auto"/>
        <w:jc w:val="both"/>
        <w:rPr>
          <w:rFonts w:asciiTheme="majorHAnsi" w:hAnsiTheme="majorHAnsi" w:cs="URWPalladioL-Roma"/>
          <w:sz w:val="24"/>
          <w:szCs w:val="24"/>
        </w:rPr>
      </w:pPr>
      <w:r>
        <w:rPr>
          <w:rFonts w:asciiTheme="majorHAnsi" w:hAnsiTheme="majorHAnsi" w:cs="URWPalladioL-Roma"/>
          <w:sz w:val="24"/>
          <w:szCs w:val="24"/>
        </w:rPr>
        <w:t>The red and blue line cross since the lives will die eventually with payment of the sum assured merely postponed. We did the same with annuities with the following effect:</w:t>
      </w:r>
    </w:p>
    <w:p w:rsidR="005E47B9" w:rsidRPr="00765D35" w:rsidRDefault="00765D35" w:rsidP="00765D35">
      <w:pPr>
        <w:pStyle w:val="Caption"/>
        <w:rPr>
          <w:rFonts w:asciiTheme="majorHAnsi" w:hAnsiTheme="majorHAnsi" w:cs="URWPalladioL-Roma"/>
          <w:sz w:val="22"/>
          <w:szCs w:val="22"/>
        </w:rPr>
      </w:pPr>
      <w:r w:rsidRPr="00765D35">
        <w:rPr>
          <w:sz w:val="22"/>
          <w:szCs w:val="22"/>
        </w:rPr>
        <w:t xml:space="preserve">Figure </w:t>
      </w:r>
      <w:r w:rsidRPr="00765D35">
        <w:rPr>
          <w:sz w:val="22"/>
          <w:szCs w:val="22"/>
        </w:rPr>
        <w:fldChar w:fldCharType="begin"/>
      </w:r>
      <w:r w:rsidRPr="00765D35">
        <w:rPr>
          <w:sz w:val="22"/>
          <w:szCs w:val="22"/>
        </w:rPr>
        <w:instrText xml:space="preserve"> SEQ Figure \* ARABIC </w:instrText>
      </w:r>
      <w:r w:rsidRPr="00765D35">
        <w:rPr>
          <w:sz w:val="22"/>
          <w:szCs w:val="22"/>
        </w:rPr>
        <w:fldChar w:fldCharType="separate"/>
      </w:r>
      <w:r>
        <w:rPr>
          <w:noProof/>
          <w:sz w:val="22"/>
          <w:szCs w:val="22"/>
        </w:rPr>
        <w:t>15</w:t>
      </w:r>
      <w:r w:rsidRPr="00765D35">
        <w:rPr>
          <w:sz w:val="22"/>
          <w:szCs w:val="22"/>
        </w:rPr>
        <w:fldChar w:fldCharType="end"/>
      </w:r>
      <w:r w:rsidRPr="00765D35">
        <w:rPr>
          <w:sz w:val="22"/>
          <w:szCs w:val="22"/>
        </w:rPr>
        <w:t xml:space="preserve"> - Cash-flow</w:t>
      </w:r>
      <w:r>
        <w:rPr>
          <w:sz w:val="22"/>
          <w:szCs w:val="22"/>
        </w:rPr>
        <w:t xml:space="preserve"> simulation</w:t>
      </w:r>
      <w:r w:rsidRPr="00765D35">
        <w:rPr>
          <w:sz w:val="22"/>
          <w:szCs w:val="22"/>
        </w:rPr>
        <w:t xml:space="preserve"> for a portfolio of annuities for different longevity improvements</w:t>
      </w:r>
    </w:p>
    <w:p w:rsidR="005E47B9" w:rsidRDefault="005E47B9" w:rsidP="005E47B9">
      <w:pPr>
        <w:spacing w:line="360" w:lineRule="auto"/>
        <w:jc w:val="center"/>
        <w:rPr>
          <w:rFonts w:asciiTheme="majorHAnsi" w:hAnsiTheme="majorHAnsi" w:cs="URWPalladioL-Roma"/>
          <w:sz w:val="24"/>
          <w:szCs w:val="24"/>
        </w:rPr>
      </w:pPr>
      <w:r w:rsidRPr="0080624E">
        <w:rPr>
          <w:rFonts w:asciiTheme="majorHAnsi" w:hAnsiTheme="majorHAnsi" w:cs="URWPalladioL-Roma"/>
          <w:noProof/>
          <w:sz w:val="24"/>
          <w:szCs w:val="24"/>
          <w:lang w:val="en-ZA" w:eastAsia="en-ZA"/>
        </w:rPr>
        <w:drawing>
          <wp:inline distT="0" distB="0" distL="0" distR="0" wp14:anchorId="154B142D" wp14:editId="7C51C70E">
            <wp:extent cx="4572000" cy="2743200"/>
            <wp:effectExtent l="19050" t="0" r="19050" b="0"/>
            <wp:docPr id="2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E47B9" w:rsidRDefault="005E47B9" w:rsidP="005E47B9">
      <w:pPr>
        <w:spacing w:line="360" w:lineRule="auto"/>
        <w:jc w:val="center"/>
        <w:rPr>
          <w:rFonts w:asciiTheme="majorHAnsi" w:hAnsiTheme="majorHAnsi" w:cs="URWPalladioL-Roma"/>
          <w:sz w:val="24"/>
          <w:szCs w:val="24"/>
        </w:rPr>
      </w:pPr>
    </w:p>
    <w:p w:rsidR="005E47B9" w:rsidRDefault="005E47B9" w:rsidP="005E47B9">
      <w:pPr>
        <w:spacing w:line="360" w:lineRule="auto"/>
        <w:jc w:val="both"/>
        <w:rPr>
          <w:rFonts w:asciiTheme="majorHAnsi" w:hAnsiTheme="majorHAnsi" w:cs="URWPalladioL-Roma"/>
          <w:sz w:val="24"/>
          <w:szCs w:val="24"/>
        </w:rPr>
      </w:pPr>
      <w:r>
        <w:rPr>
          <w:rFonts w:asciiTheme="majorHAnsi" w:hAnsiTheme="majorHAnsi" w:cs="URWPalladioL-Roma"/>
          <w:sz w:val="24"/>
          <w:szCs w:val="24"/>
        </w:rPr>
        <w:t xml:space="preserve">We considered a portfolio of 10000 annuities uniformly distributed between 60k and 240k per annum with an average age of 65 in the above graph. The lines look much smoother </w:t>
      </w:r>
      <w:r>
        <w:rPr>
          <w:rFonts w:asciiTheme="majorHAnsi" w:hAnsiTheme="majorHAnsi" w:cs="URWPalladioL-Roma"/>
          <w:sz w:val="24"/>
          <w:szCs w:val="24"/>
        </w:rPr>
        <w:lastRenderedPageBreak/>
        <w:t>than for the assurances but the scale on the y-axis is different. If we put these together we get the following combined effect on cash-flows, as shown by the green line below:</w:t>
      </w:r>
    </w:p>
    <w:p w:rsidR="005E47B9" w:rsidRPr="00765D35" w:rsidRDefault="00765D35" w:rsidP="00765D35">
      <w:pPr>
        <w:pStyle w:val="Caption"/>
        <w:rPr>
          <w:rFonts w:asciiTheme="majorHAnsi" w:hAnsiTheme="majorHAnsi" w:cs="URWPalladioL-Roma"/>
          <w:sz w:val="22"/>
          <w:szCs w:val="22"/>
        </w:rPr>
      </w:pPr>
      <w:r w:rsidRPr="00765D35">
        <w:rPr>
          <w:sz w:val="22"/>
          <w:szCs w:val="22"/>
        </w:rPr>
        <w:t xml:space="preserve">Figure </w:t>
      </w:r>
      <w:r w:rsidRPr="00765D35">
        <w:rPr>
          <w:sz w:val="22"/>
          <w:szCs w:val="22"/>
        </w:rPr>
        <w:fldChar w:fldCharType="begin"/>
      </w:r>
      <w:r w:rsidRPr="00765D35">
        <w:rPr>
          <w:sz w:val="22"/>
          <w:szCs w:val="22"/>
        </w:rPr>
        <w:instrText xml:space="preserve"> SEQ Figure \* ARABIC </w:instrText>
      </w:r>
      <w:r w:rsidRPr="00765D35">
        <w:rPr>
          <w:sz w:val="22"/>
          <w:szCs w:val="22"/>
        </w:rPr>
        <w:fldChar w:fldCharType="separate"/>
      </w:r>
      <w:r w:rsidRPr="00765D35">
        <w:rPr>
          <w:noProof/>
          <w:sz w:val="22"/>
          <w:szCs w:val="22"/>
        </w:rPr>
        <w:t>16</w:t>
      </w:r>
      <w:r w:rsidRPr="00765D35">
        <w:rPr>
          <w:sz w:val="22"/>
          <w:szCs w:val="22"/>
        </w:rPr>
        <w:fldChar w:fldCharType="end"/>
      </w:r>
      <w:r w:rsidRPr="00765D35">
        <w:rPr>
          <w:sz w:val="22"/>
          <w:szCs w:val="22"/>
        </w:rPr>
        <w:t xml:space="preserve"> - Difference in cash-flows for a simulated portfolio of assurances and annuities</w:t>
      </w:r>
    </w:p>
    <w:p w:rsidR="005E47B9" w:rsidRDefault="005E47B9" w:rsidP="005E47B9">
      <w:pPr>
        <w:spacing w:line="360" w:lineRule="auto"/>
        <w:jc w:val="center"/>
        <w:rPr>
          <w:rFonts w:asciiTheme="majorHAnsi" w:hAnsiTheme="majorHAnsi" w:cs="URWPalladioL-Roma"/>
          <w:sz w:val="24"/>
          <w:szCs w:val="24"/>
        </w:rPr>
      </w:pPr>
      <w:r w:rsidRPr="00356E0C">
        <w:rPr>
          <w:rFonts w:asciiTheme="majorHAnsi" w:hAnsiTheme="majorHAnsi" w:cs="URWPalladioL-Roma"/>
          <w:noProof/>
          <w:sz w:val="24"/>
          <w:szCs w:val="24"/>
          <w:lang w:val="en-ZA" w:eastAsia="en-ZA"/>
        </w:rPr>
        <w:drawing>
          <wp:inline distT="0" distB="0" distL="0" distR="0" wp14:anchorId="313352D4" wp14:editId="18FD6A35">
            <wp:extent cx="4650913" cy="2593571"/>
            <wp:effectExtent l="19050" t="0" r="16337"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E47B9" w:rsidRDefault="005E47B9" w:rsidP="005E47B9">
      <w:pPr>
        <w:spacing w:line="360" w:lineRule="auto"/>
        <w:jc w:val="center"/>
        <w:rPr>
          <w:rFonts w:asciiTheme="majorHAnsi" w:hAnsiTheme="majorHAnsi" w:cs="URWPalladioL-Roma"/>
          <w:sz w:val="24"/>
          <w:szCs w:val="24"/>
        </w:rPr>
      </w:pPr>
    </w:p>
    <w:p w:rsidR="005E47B9" w:rsidRDefault="005E47B9" w:rsidP="005E47B9">
      <w:pPr>
        <w:spacing w:line="360" w:lineRule="auto"/>
        <w:jc w:val="both"/>
        <w:rPr>
          <w:rFonts w:asciiTheme="majorHAnsi" w:hAnsiTheme="majorHAnsi" w:cs="URWPalladioL-Roma"/>
          <w:sz w:val="24"/>
          <w:szCs w:val="24"/>
        </w:rPr>
      </w:pPr>
      <w:r>
        <w:rPr>
          <w:rFonts w:asciiTheme="majorHAnsi" w:hAnsiTheme="majorHAnsi" w:cs="URWPalladioL-Roma"/>
          <w:sz w:val="24"/>
          <w:szCs w:val="24"/>
        </w:rPr>
        <w:t>If we consider the amounts then cash-flows may not be sufficiently stable, depending on the viewpoint of the insurer.  This clearly shows that large portfolios are required to create a smoother cash-flow.  It is therefore suggested that the smaller portfolios may use this method in conjunction with reinsurance to create the desired smoothness.</w:t>
      </w:r>
    </w:p>
    <w:p w:rsidR="005E47B9" w:rsidRPr="005E47B9" w:rsidRDefault="005E47B9" w:rsidP="005E47B9"/>
    <w:p w:rsidR="000D7935" w:rsidRDefault="00E84208" w:rsidP="001C1AA2">
      <w:pPr>
        <w:pStyle w:val="Heading1"/>
        <w:numPr>
          <w:ilvl w:val="0"/>
          <w:numId w:val="10"/>
        </w:numPr>
        <w:spacing w:before="0" w:after="240"/>
        <w:rPr>
          <w:lang w:val="en-ZA"/>
        </w:rPr>
      </w:pPr>
      <w:bookmarkStart w:id="34" w:name="_Toc374709725"/>
      <w:r>
        <w:rPr>
          <w:lang w:val="en-ZA"/>
        </w:rPr>
        <w:t>Conclusion</w:t>
      </w:r>
      <w:bookmarkEnd w:id="34"/>
    </w:p>
    <w:p w:rsidR="0096208C" w:rsidRDefault="00E84208" w:rsidP="004E6F9F">
      <w:pPr>
        <w:spacing w:after="240" w:line="360" w:lineRule="auto"/>
        <w:jc w:val="both"/>
        <w:rPr>
          <w:sz w:val="24"/>
          <w:szCs w:val="24"/>
          <w:lang w:val="en-ZA"/>
        </w:rPr>
      </w:pPr>
      <w:r>
        <w:rPr>
          <w:sz w:val="24"/>
          <w:szCs w:val="24"/>
          <w:lang w:val="en-ZA"/>
        </w:rPr>
        <w:t xml:space="preserve">The changes in present value can easily be calculated for two </w:t>
      </w:r>
      <w:r w:rsidR="004618AB">
        <w:rPr>
          <w:sz w:val="24"/>
          <w:szCs w:val="24"/>
          <w:lang w:val="en-ZA"/>
        </w:rPr>
        <w:t>portfolios</w:t>
      </w:r>
      <w:r>
        <w:rPr>
          <w:sz w:val="24"/>
          <w:szCs w:val="24"/>
          <w:lang w:val="en-ZA"/>
        </w:rPr>
        <w:t xml:space="preserve"> with opposite reactions to a change in mortality rates. These changes in the present values can then be used to calculate one method of obtaining a natural </w:t>
      </w:r>
      <w:r w:rsidR="0096208C">
        <w:rPr>
          <w:sz w:val="24"/>
          <w:szCs w:val="24"/>
          <w:lang w:val="en-ZA"/>
        </w:rPr>
        <w:t>hedge to mitigate longevity risk.</w:t>
      </w:r>
    </w:p>
    <w:p w:rsidR="00711A08" w:rsidRDefault="0096208C" w:rsidP="004E6F9F">
      <w:pPr>
        <w:spacing w:after="240" w:line="360" w:lineRule="auto"/>
        <w:jc w:val="both"/>
        <w:rPr>
          <w:sz w:val="24"/>
          <w:szCs w:val="24"/>
          <w:lang w:val="en-ZA"/>
        </w:rPr>
      </w:pPr>
      <w:r>
        <w:rPr>
          <w:sz w:val="24"/>
          <w:szCs w:val="24"/>
          <w:lang w:val="en-ZA"/>
        </w:rPr>
        <w:t>The stability of the</w:t>
      </w:r>
      <w:r w:rsidR="00711A08">
        <w:rPr>
          <w:sz w:val="24"/>
          <w:szCs w:val="24"/>
          <w:lang w:val="en-ZA"/>
        </w:rPr>
        <w:t xml:space="preserve"> above</w:t>
      </w:r>
      <w:r>
        <w:rPr>
          <w:sz w:val="24"/>
          <w:szCs w:val="24"/>
          <w:lang w:val="en-ZA"/>
        </w:rPr>
        <w:t xml:space="preserve"> method for obtaining a natural hedge </w:t>
      </w:r>
      <w:r w:rsidR="00711A08">
        <w:rPr>
          <w:sz w:val="24"/>
          <w:szCs w:val="24"/>
          <w:lang w:val="en-ZA"/>
        </w:rPr>
        <w:t>can easily be investigated</w:t>
      </w:r>
      <w:r w:rsidR="00D11D7F">
        <w:rPr>
          <w:sz w:val="24"/>
          <w:szCs w:val="24"/>
          <w:lang w:val="en-ZA"/>
        </w:rPr>
        <w:t xml:space="preserve"> for any two particular portfolios</w:t>
      </w:r>
      <w:r w:rsidR="00711A08">
        <w:rPr>
          <w:sz w:val="24"/>
          <w:szCs w:val="24"/>
          <w:lang w:val="en-ZA"/>
        </w:rPr>
        <w:t xml:space="preserve">. Once the hedge described above has been implemented it seems to be stable for a </w:t>
      </w:r>
      <w:r w:rsidR="00D11D7F">
        <w:rPr>
          <w:sz w:val="24"/>
          <w:szCs w:val="24"/>
          <w:lang w:val="en-ZA"/>
        </w:rPr>
        <w:t>few</w:t>
      </w:r>
      <w:r w:rsidR="00711A08">
        <w:rPr>
          <w:sz w:val="24"/>
          <w:szCs w:val="24"/>
          <w:lang w:val="en-ZA"/>
        </w:rPr>
        <w:t xml:space="preserve"> years</w:t>
      </w:r>
      <w:r w:rsidR="00D11D7F">
        <w:rPr>
          <w:sz w:val="24"/>
          <w:szCs w:val="24"/>
          <w:lang w:val="en-ZA"/>
        </w:rPr>
        <w:t>, but this will depend on the makeup of the portfolios involved</w:t>
      </w:r>
      <w:r w:rsidR="00711A08">
        <w:rPr>
          <w:sz w:val="24"/>
          <w:szCs w:val="24"/>
          <w:lang w:val="en-ZA"/>
        </w:rPr>
        <w:t xml:space="preserve">. </w:t>
      </w:r>
    </w:p>
    <w:p w:rsidR="004F356A" w:rsidRDefault="00D11D7F" w:rsidP="004E6F9F">
      <w:pPr>
        <w:spacing w:after="240" w:line="360" w:lineRule="auto"/>
        <w:jc w:val="both"/>
        <w:rPr>
          <w:sz w:val="24"/>
          <w:szCs w:val="24"/>
          <w:lang w:val="en-ZA"/>
        </w:rPr>
      </w:pPr>
      <w:r>
        <w:rPr>
          <w:sz w:val="24"/>
          <w:szCs w:val="24"/>
          <w:lang w:val="en-ZA"/>
        </w:rPr>
        <w:lastRenderedPageBreak/>
        <w:t xml:space="preserve">Using this method an underlying mortality index is not required.  </w:t>
      </w:r>
      <w:r w:rsidR="004F356A">
        <w:rPr>
          <w:sz w:val="24"/>
          <w:szCs w:val="24"/>
          <w:lang w:val="en-ZA"/>
        </w:rPr>
        <w:t>Under this method a portfolio becomes a new entity under which its own complete future mortality table could be estimated.  The LHR could then be calculated using the mortality of the opposite portfolio in the hedge. Since the portfolio becomes an entity on its own, it could be sold with its own inherent mortality including a certain allowance for improvements, in the form of a security. Excess assurances or annuities within a company could be reinsured or swapped</w:t>
      </w:r>
      <w:r w:rsidR="00711A08">
        <w:rPr>
          <w:sz w:val="24"/>
          <w:szCs w:val="24"/>
          <w:lang w:val="en-ZA"/>
        </w:rPr>
        <w:t>.</w:t>
      </w:r>
      <w:r w:rsidR="0096208C">
        <w:rPr>
          <w:sz w:val="24"/>
          <w:szCs w:val="24"/>
          <w:lang w:val="en-ZA"/>
        </w:rPr>
        <w:t xml:space="preserve"> </w:t>
      </w:r>
    </w:p>
    <w:p w:rsidR="004618AB" w:rsidRDefault="004618AB" w:rsidP="004E6F9F">
      <w:pPr>
        <w:spacing w:after="240" w:line="360" w:lineRule="auto"/>
        <w:jc w:val="both"/>
        <w:rPr>
          <w:sz w:val="24"/>
          <w:szCs w:val="24"/>
          <w:lang w:val="en-ZA"/>
        </w:rPr>
      </w:pPr>
      <w:r w:rsidRPr="004618AB">
        <w:rPr>
          <w:sz w:val="24"/>
          <w:szCs w:val="24"/>
          <w:lang w:val="en-ZA"/>
        </w:rPr>
        <w:t>The natural hedge by means of the LHR, as suggested in this paper, may be used to effectively smooth cash-flows and hedge against mortality improvements.  The hedge proves to work well for large portfolios.  Since many insurers have both assurances and annuities, it makes sense to co</w:t>
      </w:r>
      <w:bookmarkStart w:id="35" w:name="_GoBack"/>
      <w:bookmarkEnd w:id="35"/>
      <w:r w:rsidRPr="004618AB">
        <w:rPr>
          <w:sz w:val="24"/>
          <w:szCs w:val="24"/>
          <w:lang w:val="en-ZA"/>
        </w:rPr>
        <w:t xml:space="preserve">nsider the combined effect of mortality improvements on the total portfolio.  If this is considered in conjunction with reinsurance, it may actually reduce the reinsurance cost, reduce risk of unexpected longevity changes, or even change the total reinsurance strategy of a company. </w:t>
      </w:r>
    </w:p>
    <w:p w:rsidR="004618AB" w:rsidRPr="004618AB" w:rsidRDefault="004618AB" w:rsidP="004E6F9F">
      <w:pPr>
        <w:spacing w:after="240" w:line="360" w:lineRule="auto"/>
        <w:jc w:val="both"/>
        <w:rPr>
          <w:sz w:val="24"/>
          <w:szCs w:val="24"/>
          <w:lang w:val="en-ZA"/>
        </w:rPr>
      </w:pPr>
      <w:r>
        <w:rPr>
          <w:sz w:val="24"/>
          <w:szCs w:val="24"/>
          <w:lang w:val="en-ZA"/>
        </w:rPr>
        <w:t>More research could be done on securitisation of such portfolios and parts thereof.  Swapping the mortality table with a mathematical function may produce eloquent solutions to the LHR, and improve pricing of such securities. Current improvements are applied to tables with a fixed maximum age, where in reality the maximum age will be extended due to the improvements. This creates an underestimation of the extra number of payments on largely the annuities side.  Research is required to quantify this effect, and may be used to improve the above hedge results.</w:t>
      </w:r>
    </w:p>
    <w:p w:rsidR="00A66564" w:rsidRPr="005E4243" w:rsidRDefault="00A66564" w:rsidP="00F950C8">
      <w:pPr>
        <w:pStyle w:val="Heading1"/>
        <w:spacing w:before="0" w:after="200" w:line="360" w:lineRule="auto"/>
        <w:rPr>
          <w:lang w:val="en-ZA"/>
        </w:rPr>
      </w:pPr>
      <w:bookmarkStart w:id="36" w:name="_Toc374709726"/>
      <w:r w:rsidRPr="005E4243">
        <w:rPr>
          <w:lang w:val="en-ZA"/>
        </w:rPr>
        <w:t>Reference List</w:t>
      </w:r>
      <w:bookmarkEnd w:id="36"/>
    </w:p>
    <w:p w:rsidR="00D755AC" w:rsidRPr="00D755AC" w:rsidRDefault="00D755AC" w:rsidP="00D755AC">
      <w:pPr>
        <w:rPr>
          <w:sz w:val="24"/>
          <w:szCs w:val="24"/>
          <w:lang w:val="en-ZA"/>
        </w:rPr>
      </w:pPr>
      <w:proofErr w:type="spellStart"/>
      <w:r w:rsidRPr="00D755AC">
        <w:rPr>
          <w:sz w:val="24"/>
          <w:szCs w:val="24"/>
          <w:lang w:val="en-ZA"/>
        </w:rPr>
        <w:t>Antolin</w:t>
      </w:r>
      <w:proofErr w:type="spellEnd"/>
      <w:r w:rsidRPr="00D755AC">
        <w:rPr>
          <w:sz w:val="24"/>
          <w:szCs w:val="24"/>
          <w:lang w:val="en-ZA"/>
        </w:rPr>
        <w:t xml:space="preserve">, P. (2007), </w:t>
      </w:r>
      <w:r w:rsidRPr="00D755AC">
        <w:rPr>
          <w:i/>
          <w:sz w:val="24"/>
          <w:szCs w:val="24"/>
          <w:lang w:val="en-ZA"/>
        </w:rPr>
        <w:t>Longevity Risk and Private Pensions</w:t>
      </w:r>
      <w:r w:rsidRPr="00D755AC">
        <w:rPr>
          <w:sz w:val="24"/>
          <w:szCs w:val="24"/>
          <w:lang w:val="en-ZA"/>
        </w:rPr>
        <w:t xml:space="preserve">, OECD Working Papers on Insurance and Private Pensions, No. 3, OECD Publishing. </w:t>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t xml:space="preserve">           </w:t>
      </w:r>
      <w:r w:rsidRPr="00D755AC">
        <w:rPr>
          <w:sz w:val="24"/>
          <w:szCs w:val="24"/>
          <w:lang w:val="en-ZA"/>
        </w:rPr>
        <w:t xml:space="preserve">Available at: </w:t>
      </w:r>
      <w:r w:rsidRPr="00D755AC">
        <w:rPr>
          <w:sz w:val="24"/>
          <w:szCs w:val="24"/>
          <w:u w:val="single"/>
          <w:lang w:val="en-ZA"/>
        </w:rPr>
        <w:t>http://www.oecd.org/dataoecd/38/22/37977228.pdf</w:t>
      </w:r>
      <w:r>
        <w:rPr>
          <w:sz w:val="24"/>
          <w:szCs w:val="24"/>
          <w:lang w:val="en-ZA"/>
        </w:rPr>
        <w:t xml:space="preserve"> </w:t>
      </w:r>
      <w:r>
        <w:rPr>
          <w:sz w:val="24"/>
          <w:szCs w:val="24"/>
          <w:lang w:val="en-ZA"/>
        </w:rPr>
        <w:tab/>
      </w:r>
      <w:r>
        <w:rPr>
          <w:sz w:val="24"/>
          <w:szCs w:val="24"/>
          <w:lang w:val="en-ZA"/>
        </w:rPr>
        <w:tab/>
        <w:t xml:space="preserve">          [Accessed 28 September 2010]</w:t>
      </w:r>
    </w:p>
    <w:p w:rsidR="00A35EA5" w:rsidRDefault="00A35EA5" w:rsidP="00034F4F">
      <w:pPr>
        <w:spacing w:line="360" w:lineRule="auto"/>
        <w:rPr>
          <w:sz w:val="24"/>
          <w:szCs w:val="24"/>
        </w:rPr>
      </w:pPr>
      <w:r w:rsidRPr="00A35EA5">
        <w:rPr>
          <w:sz w:val="24"/>
          <w:szCs w:val="24"/>
          <w:lang w:val="de-DE"/>
        </w:rPr>
        <w:t>Bauer, D., Börger, M. &amp; Ru</w:t>
      </w:r>
      <w:r w:rsidRPr="00A35EA5">
        <w:rPr>
          <w:sz w:val="24"/>
          <w:szCs w:val="24"/>
          <w:lang w:val="en-ZA"/>
        </w:rPr>
        <w:t>β</w:t>
      </w:r>
      <w:r w:rsidRPr="00A35EA5">
        <w:rPr>
          <w:sz w:val="24"/>
          <w:szCs w:val="24"/>
          <w:lang w:val="de-DE"/>
        </w:rPr>
        <w:t>, J.,</w:t>
      </w:r>
      <w:r>
        <w:rPr>
          <w:sz w:val="24"/>
          <w:szCs w:val="24"/>
          <w:lang w:val="de-DE"/>
        </w:rPr>
        <w:t xml:space="preserve"> 2009. </w:t>
      </w:r>
      <w:proofErr w:type="gramStart"/>
      <w:r w:rsidRPr="00A35EA5">
        <w:rPr>
          <w:i/>
          <w:sz w:val="24"/>
          <w:szCs w:val="24"/>
        </w:rPr>
        <w:t>On the pricing of longevity-linked securities</w:t>
      </w:r>
      <w:r>
        <w:rPr>
          <w:sz w:val="24"/>
          <w:szCs w:val="24"/>
        </w:rPr>
        <w:t>, [</w:t>
      </w:r>
      <w:proofErr w:type="spellStart"/>
      <w:r>
        <w:rPr>
          <w:sz w:val="24"/>
          <w:szCs w:val="24"/>
        </w:rPr>
        <w:t>pdf</w:t>
      </w:r>
      <w:proofErr w:type="spellEnd"/>
      <w:r>
        <w:rPr>
          <w:sz w:val="24"/>
          <w:szCs w:val="24"/>
        </w:rPr>
        <w:t>].</w:t>
      </w:r>
      <w:proofErr w:type="gramEnd"/>
      <w:r>
        <w:rPr>
          <w:sz w:val="24"/>
          <w:szCs w:val="24"/>
        </w:rPr>
        <w:t xml:space="preserve"> Available at: </w:t>
      </w:r>
      <w:r w:rsidRPr="00A35EA5">
        <w:rPr>
          <w:sz w:val="24"/>
          <w:szCs w:val="24"/>
          <w:u w:val="single"/>
        </w:rPr>
        <w:t>http://www.uni-ulm.de/fileadmin/website_uni_ulm/mawi.mort/pdf/Models/ BauerBoergerRuss_PricingLongevityBonds.pdf</w:t>
      </w:r>
      <w:r>
        <w:rPr>
          <w:sz w:val="24"/>
          <w:szCs w:val="24"/>
        </w:rPr>
        <w:t xml:space="preserve"> [Accessed 28 September 2010]</w:t>
      </w:r>
    </w:p>
    <w:p w:rsidR="009374DA" w:rsidRPr="009374DA" w:rsidRDefault="009374DA" w:rsidP="00034F4F">
      <w:pPr>
        <w:spacing w:line="360" w:lineRule="auto"/>
        <w:rPr>
          <w:b/>
          <w:sz w:val="24"/>
          <w:szCs w:val="24"/>
        </w:rPr>
      </w:pPr>
      <w:r>
        <w:rPr>
          <w:sz w:val="24"/>
          <w:szCs w:val="24"/>
        </w:rPr>
        <w:lastRenderedPageBreak/>
        <w:t>Blake, D., Cairns, A.J.G., Dowd, K.</w:t>
      </w:r>
      <w:proofErr w:type="gramStart"/>
      <w:r>
        <w:rPr>
          <w:sz w:val="24"/>
          <w:szCs w:val="24"/>
        </w:rPr>
        <w:t>,2006</w:t>
      </w:r>
      <w:proofErr w:type="gramEnd"/>
      <w:r>
        <w:rPr>
          <w:sz w:val="24"/>
          <w:szCs w:val="24"/>
        </w:rPr>
        <w:t xml:space="preserve">. </w:t>
      </w:r>
      <w:proofErr w:type="gramStart"/>
      <w:r>
        <w:rPr>
          <w:i/>
          <w:sz w:val="24"/>
          <w:szCs w:val="24"/>
        </w:rPr>
        <w:t xml:space="preserve">Living with mortality: Longevity bonds and other mortality-linked securities, </w:t>
      </w:r>
      <w:r>
        <w:rPr>
          <w:sz w:val="24"/>
          <w:szCs w:val="24"/>
        </w:rPr>
        <w:t>[</w:t>
      </w:r>
      <w:proofErr w:type="spellStart"/>
      <w:r>
        <w:rPr>
          <w:sz w:val="24"/>
          <w:szCs w:val="24"/>
        </w:rPr>
        <w:t>pdf</w:t>
      </w:r>
      <w:proofErr w:type="spellEnd"/>
      <w:r>
        <w:rPr>
          <w:sz w:val="24"/>
          <w:szCs w:val="24"/>
        </w:rPr>
        <w:t>].</w:t>
      </w:r>
      <w:proofErr w:type="gramEnd"/>
      <w:r>
        <w:rPr>
          <w:sz w:val="24"/>
          <w:szCs w:val="24"/>
        </w:rPr>
        <w:t xml:space="preserve"> </w:t>
      </w:r>
      <w:r w:rsidR="00B71E45">
        <w:rPr>
          <w:sz w:val="24"/>
          <w:szCs w:val="24"/>
        </w:rPr>
        <w:t>Institute and Faculty of Actuaries,</w:t>
      </w:r>
      <w:r>
        <w:rPr>
          <w:sz w:val="24"/>
          <w:szCs w:val="24"/>
        </w:rPr>
        <w:tab/>
      </w:r>
      <w:r>
        <w:rPr>
          <w:sz w:val="24"/>
          <w:szCs w:val="24"/>
        </w:rPr>
        <w:tab/>
      </w:r>
      <w:r>
        <w:rPr>
          <w:sz w:val="24"/>
          <w:szCs w:val="24"/>
        </w:rPr>
        <w:tab/>
      </w:r>
      <w:r>
        <w:rPr>
          <w:sz w:val="24"/>
          <w:szCs w:val="24"/>
        </w:rPr>
        <w:tab/>
        <w:t xml:space="preserve">           Available at: </w:t>
      </w:r>
      <w:r w:rsidRPr="009374DA">
        <w:rPr>
          <w:sz w:val="24"/>
          <w:szCs w:val="24"/>
          <w:u w:val="single"/>
        </w:rPr>
        <w:t>http://www.actuaries.org.uk/sites/all/files/documents/pdf/facsm20060116.pdf</w:t>
      </w:r>
      <w:r>
        <w:rPr>
          <w:sz w:val="24"/>
          <w:szCs w:val="24"/>
        </w:rPr>
        <w:t xml:space="preserve"> [Accessed 28 September 2010]</w:t>
      </w:r>
    </w:p>
    <w:p w:rsidR="00DE6C9D" w:rsidRDefault="00D45D1C" w:rsidP="00034F4F">
      <w:pPr>
        <w:spacing w:line="360" w:lineRule="auto"/>
        <w:rPr>
          <w:sz w:val="24"/>
          <w:szCs w:val="24"/>
          <w:lang w:val="en-ZA"/>
        </w:rPr>
      </w:pPr>
      <w:proofErr w:type="gramStart"/>
      <w:r>
        <w:rPr>
          <w:sz w:val="24"/>
          <w:szCs w:val="24"/>
          <w:lang w:val="en-ZA"/>
        </w:rPr>
        <w:t>Cox, S.H. &amp; Lin, Y., 2004.</w:t>
      </w:r>
      <w:proofErr w:type="gramEnd"/>
      <w:r>
        <w:rPr>
          <w:sz w:val="24"/>
          <w:szCs w:val="24"/>
          <w:lang w:val="en-ZA"/>
        </w:rPr>
        <w:t xml:space="preserve"> </w:t>
      </w:r>
      <w:r>
        <w:rPr>
          <w:i/>
          <w:sz w:val="24"/>
          <w:szCs w:val="24"/>
          <w:lang w:val="en-ZA"/>
        </w:rPr>
        <w:t xml:space="preserve">Natural hedging of life and annuity mortality risks, </w:t>
      </w:r>
      <w:r w:rsidR="00DE6C9D">
        <w:rPr>
          <w:sz w:val="24"/>
          <w:szCs w:val="24"/>
          <w:lang w:val="en-ZA"/>
        </w:rPr>
        <w:t>[</w:t>
      </w:r>
      <w:proofErr w:type="spellStart"/>
      <w:r w:rsidR="00DE6C9D">
        <w:rPr>
          <w:sz w:val="24"/>
          <w:szCs w:val="24"/>
          <w:lang w:val="en-ZA"/>
        </w:rPr>
        <w:t>pdf</w:t>
      </w:r>
      <w:proofErr w:type="spellEnd"/>
      <w:r w:rsidR="00DE6C9D">
        <w:rPr>
          <w:sz w:val="24"/>
          <w:szCs w:val="24"/>
          <w:lang w:val="en-ZA"/>
        </w:rPr>
        <w:t xml:space="preserve">]. Available at: </w:t>
      </w:r>
      <w:r w:rsidR="00DE6C9D" w:rsidRPr="00DE6C9D">
        <w:rPr>
          <w:sz w:val="24"/>
          <w:szCs w:val="24"/>
          <w:u w:val="single"/>
          <w:lang w:val="en-ZA"/>
        </w:rPr>
        <w:t>http://www.ressources-actuarielles.net/EXT/ISFA/1226.nsf/ 769998e0a65ea348c1257052003eb94f/fc5d7e693589ca5ac1256fb50035afad/$FILE/Natural%20Hedging%20of%20Life%20and%20Annuity%20Mortality%20Risks.pdf</w:t>
      </w:r>
      <w:r w:rsidR="003C702E" w:rsidRPr="003C702E">
        <w:rPr>
          <w:sz w:val="24"/>
          <w:szCs w:val="24"/>
          <w:lang w:val="en-ZA"/>
        </w:rPr>
        <w:t xml:space="preserve"> </w:t>
      </w:r>
      <w:r w:rsidR="003C702E">
        <w:rPr>
          <w:sz w:val="24"/>
          <w:szCs w:val="24"/>
          <w:lang w:val="en-ZA"/>
        </w:rPr>
        <w:tab/>
      </w:r>
      <w:r w:rsidR="003C702E">
        <w:rPr>
          <w:sz w:val="24"/>
          <w:szCs w:val="24"/>
          <w:lang w:val="en-ZA"/>
        </w:rPr>
        <w:tab/>
        <w:t xml:space="preserve">         </w:t>
      </w:r>
      <w:r w:rsidR="003C702E" w:rsidRPr="003C702E">
        <w:rPr>
          <w:sz w:val="24"/>
          <w:szCs w:val="24"/>
          <w:lang w:val="en-ZA"/>
        </w:rPr>
        <w:t>[Accessed 27 September 2010]</w:t>
      </w:r>
    </w:p>
    <w:p w:rsidR="0054698E" w:rsidRPr="0054698E" w:rsidRDefault="0054698E" w:rsidP="00034F4F">
      <w:pPr>
        <w:spacing w:line="360" w:lineRule="auto"/>
        <w:rPr>
          <w:sz w:val="24"/>
          <w:szCs w:val="24"/>
          <w:lang w:val="en-ZA"/>
        </w:rPr>
      </w:pPr>
      <w:proofErr w:type="gramStart"/>
      <w:r>
        <w:rPr>
          <w:sz w:val="24"/>
          <w:szCs w:val="24"/>
          <w:lang w:val="en-ZA"/>
        </w:rPr>
        <w:t>Cox, S.H., Lin, Y., 2007.</w:t>
      </w:r>
      <w:proofErr w:type="gramEnd"/>
      <w:r>
        <w:rPr>
          <w:sz w:val="24"/>
          <w:szCs w:val="24"/>
          <w:lang w:val="en-ZA"/>
        </w:rPr>
        <w:t xml:space="preserve"> </w:t>
      </w:r>
      <w:r>
        <w:rPr>
          <w:i/>
          <w:sz w:val="24"/>
          <w:szCs w:val="24"/>
          <w:lang w:val="en-ZA"/>
        </w:rPr>
        <w:t xml:space="preserve">Natural hedging of life and annuity mortality risks, </w:t>
      </w:r>
      <w:r>
        <w:rPr>
          <w:sz w:val="24"/>
          <w:szCs w:val="24"/>
          <w:lang w:val="en-ZA"/>
        </w:rPr>
        <w:t>[</w:t>
      </w:r>
      <w:proofErr w:type="spellStart"/>
      <w:r>
        <w:rPr>
          <w:sz w:val="24"/>
          <w:szCs w:val="24"/>
          <w:lang w:val="en-ZA"/>
        </w:rPr>
        <w:t>pdf</w:t>
      </w:r>
      <w:proofErr w:type="spellEnd"/>
      <w:r>
        <w:rPr>
          <w:sz w:val="24"/>
          <w:szCs w:val="24"/>
          <w:lang w:val="en-ZA"/>
        </w:rPr>
        <w:t xml:space="preserve">]. Society of Actuaries, Available at: </w:t>
      </w:r>
      <w:r w:rsidRPr="0054698E">
        <w:rPr>
          <w:sz w:val="24"/>
          <w:szCs w:val="24"/>
          <w:u w:val="single"/>
          <w:lang w:val="en-ZA"/>
        </w:rPr>
        <w:t>http://www.soa.org/library/journals/north-american-actuarial-journal/2007/july/naaj0703-1.pdf</w:t>
      </w:r>
      <w:r w:rsidRPr="0054698E">
        <w:rPr>
          <w:sz w:val="24"/>
          <w:szCs w:val="24"/>
          <w:lang w:val="en-ZA"/>
        </w:rPr>
        <w:t xml:space="preserve"> </w:t>
      </w:r>
      <w:r>
        <w:rPr>
          <w:sz w:val="24"/>
          <w:szCs w:val="24"/>
          <w:lang w:val="en-ZA"/>
        </w:rPr>
        <w:t>[Accessed 29 September 2010]</w:t>
      </w:r>
    </w:p>
    <w:p w:rsidR="00B13BC0" w:rsidRPr="005E4243" w:rsidRDefault="00B13BC0" w:rsidP="00034F4F">
      <w:pPr>
        <w:spacing w:after="0" w:line="360" w:lineRule="auto"/>
        <w:rPr>
          <w:sz w:val="24"/>
          <w:szCs w:val="24"/>
          <w:lang w:val="en-ZA"/>
        </w:rPr>
      </w:pPr>
      <w:proofErr w:type="gramStart"/>
      <w:r w:rsidRPr="005E4243">
        <w:rPr>
          <w:sz w:val="24"/>
          <w:szCs w:val="24"/>
          <w:lang w:val="en-ZA"/>
        </w:rPr>
        <w:t xml:space="preserve">Crawford, T., de </w:t>
      </w:r>
      <w:proofErr w:type="spellStart"/>
      <w:r w:rsidRPr="005E4243">
        <w:rPr>
          <w:sz w:val="24"/>
          <w:szCs w:val="24"/>
          <w:lang w:val="en-ZA"/>
        </w:rPr>
        <w:t>Haan</w:t>
      </w:r>
      <w:proofErr w:type="spellEnd"/>
      <w:r w:rsidRPr="005E4243">
        <w:rPr>
          <w:sz w:val="24"/>
          <w:szCs w:val="24"/>
          <w:lang w:val="en-ZA"/>
        </w:rPr>
        <w:t xml:space="preserve">, R. &amp; </w:t>
      </w:r>
      <w:proofErr w:type="spellStart"/>
      <w:r w:rsidRPr="005E4243">
        <w:rPr>
          <w:sz w:val="24"/>
          <w:szCs w:val="24"/>
          <w:lang w:val="en-ZA"/>
        </w:rPr>
        <w:t>Runchey</w:t>
      </w:r>
      <w:proofErr w:type="spellEnd"/>
      <w:r w:rsidRPr="005E4243">
        <w:rPr>
          <w:sz w:val="24"/>
          <w:szCs w:val="24"/>
          <w:lang w:val="en-ZA"/>
        </w:rPr>
        <w:t>, C., 2008.</w:t>
      </w:r>
      <w:proofErr w:type="gramEnd"/>
      <w:r w:rsidRPr="005E4243">
        <w:rPr>
          <w:sz w:val="24"/>
          <w:szCs w:val="24"/>
          <w:lang w:val="en-ZA"/>
        </w:rPr>
        <w:t xml:space="preserve"> </w:t>
      </w:r>
      <w:r w:rsidRPr="005E4243">
        <w:rPr>
          <w:i/>
          <w:sz w:val="24"/>
          <w:szCs w:val="24"/>
          <w:lang w:val="en-ZA"/>
        </w:rPr>
        <w:t>Longevity Risk Quantification and Management: A Review of Relevant Literature</w:t>
      </w:r>
      <w:r w:rsidRPr="005E4243">
        <w:rPr>
          <w:sz w:val="24"/>
          <w:szCs w:val="24"/>
          <w:lang w:val="en-ZA"/>
        </w:rPr>
        <w:t xml:space="preserve">, [Online]. Society of Actuaries, </w:t>
      </w:r>
    </w:p>
    <w:p w:rsidR="00B13BC0" w:rsidRPr="005E4243" w:rsidRDefault="00B13BC0" w:rsidP="00034F4F">
      <w:pPr>
        <w:spacing w:line="360" w:lineRule="auto"/>
        <w:rPr>
          <w:sz w:val="24"/>
          <w:szCs w:val="24"/>
          <w:lang w:val="en-ZA"/>
        </w:rPr>
      </w:pPr>
      <w:r w:rsidRPr="005E4243">
        <w:rPr>
          <w:sz w:val="24"/>
          <w:szCs w:val="24"/>
          <w:lang w:val="en-ZA"/>
        </w:rPr>
        <w:t xml:space="preserve">Available at: </w:t>
      </w:r>
      <w:r w:rsidRPr="005E4243">
        <w:rPr>
          <w:sz w:val="24"/>
          <w:szCs w:val="24"/>
          <w:u w:val="single"/>
          <w:lang w:val="en-ZA"/>
        </w:rPr>
        <w:t>http://www.soa.org/research/life/research-long-risk-quant.aspx</w:t>
      </w:r>
      <w:r w:rsidR="003C702E">
        <w:rPr>
          <w:sz w:val="24"/>
          <w:szCs w:val="24"/>
          <w:u w:val="single"/>
          <w:lang w:val="en-ZA"/>
        </w:rPr>
        <w:t xml:space="preserve"> </w:t>
      </w:r>
      <w:r w:rsidR="003C702E" w:rsidRPr="003C702E">
        <w:rPr>
          <w:sz w:val="24"/>
          <w:szCs w:val="24"/>
          <w:lang w:val="en-ZA"/>
        </w:rPr>
        <w:tab/>
      </w:r>
      <w:r w:rsidR="003C702E">
        <w:rPr>
          <w:sz w:val="24"/>
          <w:szCs w:val="24"/>
          <w:lang w:val="en-ZA"/>
        </w:rPr>
        <w:t xml:space="preserve">         </w:t>
      </w:r>
      <w:r w:rsidR="003C702E" w:rsidRPr="003C702E">
        <w:rPr>
          <w:sz w:val="24"/>
          <w:szCs w:val="24"/>
          <w:lang w:val="en-ZA"/>
        </w:rPr>
        <w:t>[Accessed 27 September 2010]</w:t>
      </w:r>
    </w:p>
    <w:p w:rsidR="00696A41" w:rsidRDefault="00696A41" w:rsidP="00034F4F">
      <w:pPr>
        <w:spacing w:line="360" w:lineRule="auto"/>
        <w:rPr>
          <w:sz w:val="24"/>
          <w:szCs w:val="24"/>
          <w:lang w:val="en-ZA"/>
        </w:rPr>
      </w:pPr>
      <w:proofErr w:type="spellStart"/>
      <w:proofErr w:type="gramStart"/>
      <w:r>
        <w:rPr>
          <w:sz w:val="24"/>
          <w:szCs w:val="24"/>
          <w:lang w:val="en-ZA"/>
        </w:rPr>
        <w:t>Milevsky</w:t>
      </w:r>
      <w:proofErr w:type="spellEnd"/>
      <w:r>
        <w:rPr>
          <w:sz w:val="24"/>
          <w:szCs w:val="24"/>
          <w:lang w:val="en-ZA"/>
        </w:rPr>
        <w:t xml:space="preserve">, M.A. &amp; </w:t>
      </w:r>
      <w:proofErr w:type="spellStart"/>
      <w:r w:rsidR="001206DB">
        <w:rPr>
          <w:sz w:val="24"/>
          <w:szCs w:val="24"/>
          <w:lang w:val="en-ZA"/>
        </w:rPr>
        <w:t>Promislow</w:t>
      </w:r>
      <w:proofErr w:type="spellEnd"/>
      <w:r w:rsidR="001206DB">
        <w:rPr>
          <w:sz w:val="24"/>
          <w:szCs w:val="24"/>
          <w:lang w:val="en-ZA"/>
        </w:rPr>
        <w:t>, S.D., 2003.</w:t>
      </w:r>
      <w:proofErr w:type="gramEnd"/>
      <w:r w:rsidR="001206DB">
        <w:rPr>
          <w:sz w:val="24"/>
          <w:szCs w:val="24"/>
          <w:lang w:val="en-ZA"/>
        </w:rPr>
        <w:t xml:space="preserve"> </w:t>
      </w:r>
      <w:r w:rsidR="001206DB">
        <w:rPr>
          <w:i/>
          <w:sz w:val="24"/>
          <w:szCs w:val="24"/>
          <w:lang w:val="en-ZA"/>
        </w:rPr>
        <w:t xml:space="preserve">Can Life Insurance be used to Hedge Payout Annuities? Part 1: </w:t>
      </w:r>
      <w:proofErr w:type="spellStart"/>
      <w:r w:rsidR="001206DB">
        <w:rPr>
          <w:i/>
          <w:sz w:val="24"/>
          <w:szCs w:val="24"/>
          <w:lang w:val="en-ZA"/>
        </w:rPr>
        <w:t>Modeling</w:t>
      </w:r>
      <w:proofErr w:type="spellEnd"/>
      <w:r w:rsidR="001206DB">
        <w:rPr>
          <w:i/>
          <w:sz w:val="24"/>
          <w:szCs w:val="24"/>
          <w:lang w:val="en-ZA"/>
        </w:rPr>
        <w:t xml:space="preserve"> Longevity Risk,</w:t>
      </w:r>
      <w:r w:rsidR="001206DB">
        <w:rPr>
          <w:sz w:val="24"/>
          <w:szCs w:val="24"/>
          <w:lang w:val="en-ZA"/>
        </w:rPr>
        <w:t xml:space="preserve"> [</w:t>
      </w:r>
      <w:proofErr w:type="spellStart"/>
      <w:r w:rsidR="001206DB">
        <w:rPr>
          <w:sz w:val="24"/>
          <w:szCs w:val="24"/>
          <w:lang w:val="en-ZA"/>
        </w:rPr>
        <w:t>pdf</w:t>
      </w:r>
      <w:proofErr w:type="spellEnd"/>
      <w:r w:rsidR="001206DB">
        <w:rPr>
          <w:sz w:val="24"/>
          <w:szCs w:val="24"/>
          <w:lang w:val="en-ZA"/>
        </w:rPr>
        <w:t xml:space="preserve">]. </w:t>
      </w:r>
      <w:r w:rsidR="001206DB" w:rsidRPr="001206DB">
        <w:rPr>
          <w:sz w:val="24"/>
          <w:szCs w:val="24"/>
          <w:lang w:val="en-ZA"/>
        </w:rPr>
        <w:t xml:space="preserve">Individual Finance and Insurance Decisions Centre, Available at: </w:t>
      </w:r>
      <w:r w:rsidR="001206DB" w:rsidRPr="001206DB">
        <w:rPr>
          <w:sz w:val="24"/>
          <w:szCs w:val="24"/>
          <w:u w:val="single"/>
          <w:lang w:val="en-ZA"/>
        </w:rPr>
        <w:t>http://www.ifid.ca/pdf_workingpapers/WP2003Summer.pdf</w:t>
      </w:r>
      <w:r w:rsidR="003C702E">
        <w:rPr>
          <w:sz w:val="24"/>
          <w:szCs w:val="24"/>
          <w:lang w:val="en-ZA"/>
        </w:rPr>
        <w:t xml:space="preserve">                       </w:t>
      </w:r>
      <w:r w:rsidR="003C702E" w:rsidRPr="003C702E">
        <w:rPr>
          <w:sz w:val="24"/>
          <w:szCs w:val="24"/>
          <w:lang w:val="en-ZA"/>
        </w:rPr>
        <w:t>[Accessed 27 September 2010]</w:t>
      </w:r>
    </w:p>
    <w:p w:rsidR="000A07AF" w:rsidRPr="00034F4F" w:rsidRDefault="000A07AF" w:rsidP="00034F4F">
      <w:pPr>
        <w:pStyle w:val="Default"/>
        <w:spacing w:line="360" w:lineRule="auto"/>
        <w:rPr>
          <w:rFonts w:asciiTheme="minorHAnsi" w:hAnsiTheme="minorHAnsi"/>
        </w:rPr>
      </w:pPr>
      <w:proofErr w:type="spellStart"/>
      <w:r w:rsidRPr="00034F4F">
        <w:rPr>
          <w:rFonts w:asciiTheme="minorHAnsi" w:hAnsiTheme="minorHAnsi"/>
        </w:rPr>
        <w:t>Mungan</w:t>
      </w:r>
      <w:proofErr w:type="spellEnd"/>
      <w:r w:rsidRPr="00034F4F">
        <w:rPr>
          <w:rFonts w:asciiTheme="minorHAnsi" w:hAnsiTheme="minorHAnsi"/>
        </w:rPr>
        <w:t xml:space="preserve">, K., 2004. </w:t>
      </w:r>
      <w:r w:rsidRPr="00034F4F">
        <w:rPr>
          <w:rFonts w:asciiTheme="minorHAnsi" w:hAnsiTheme="minorHAnsi"/>
          <w:i/>
          <w:iCs/>
        </w:rPr>
        <w:t>Hedging variable annuity guarantees</w:t>
      </w:r>
      <w:r w:rsidR="00034F4F">
        <w:rPr>
          <w:rFonts w:asciiTheme="minorHAnsi" w:hAnsiTheme="minorHAnsi"/>
        </w:rPr>
        <w:t>,</w:t>
      </w:r>
      <w:r w:rsidRPr="00034F4F">
        <w:rPr>
          <w:rFonts w:asciiTheme="minorHAnsi" w:hAnsiTheme="minorHAnsi"/>
        </w:rPr>
        <w:t xml:space="preserve"> [Internet]</w:t>
      </w:r>
      <w:r w:rsidR="00034F4F">
        <w:rPr>
          <w:rFonts w:asciiTheme="minorHAnsi" w:hAnsiTheme="minorHAnsi"/>
        </w:rPr>
        <w:t>.</w:t>
      </w:r>
      <w:r w:rsidR="00B71E45">
        <w:rPr>
          <w:rFonts w:asciiTheme="minorHAnsi" w:hAnsiTheme="minorHAnsi"/>
        </w:rPr>
        <w:t xml:space="preserve"> </w:t>
      </w:r>
      <w:proofErr w:type="gramStart"/>
      <w:r w:rsidR="00B71E45">
        <w:rPr>
          <w:rFonts w:asciiTheme="minorHAnsi" w:hAnsiTheme="minorHAnsi"/>
        </w:rPr>
        <w:t>Chicago :</w:t>
      </w:r>
      <w:proofErr w:type="gramEnd"/>
      <w:r w:rsidR="00B71E45">
        <w:rPr>
          <w:rFonts w:asciiTheme="minorHAnsi" w:hAnsiTheme="minorHAnsi"/>
        </w:rPr>
        <w:t xml:space="preserve"> </w:t>
      </w:r>
      <w:proofErr w:type="spellStart"/>
      <w:r w:rsidR="00B71E45">
        <w:rPr>
          <w:rFonts w:asciiTheme="minorHAnsi" w:hAnsiTheme="minorHAnsi"/>
        </w:rPr>
        <w:t>Milliman</w:t>
      </w:r>
      <w:proofErr w:type="spellEnd"/>
      <w:r w:rsidR="00B71E45">
        <w:rPr>
          <w:rFonts w:asciiTheme="minorHAnsi" w:hAnsiTheme="minorHAnsi"/>
        </w:rPr>
        <w:t>,</w:t>
      </w:r>
      <w:r w:rsidRPr="00034F4F">
        <w:rPr>
          <w:rFonts w:asciiTheme="minorHAnsi" w:hAnsiTheme="minorHAnsi"/>
        </w:rPr>
        <w:t xml:space="preserve"> </w:t>
      </w:r>
    </w:p>
    <w:p w:rsidR="000A07AF" w:rsidRPr="00034F4F" w:rsidRDefault="000A07AF" w:rsidP="00034F4F">
      <w:pPr>
        <w:spacing w:line="360" w:lineRule="auto"/>
        <w:rPr>
          <w:sz w:val="24"/>
          <w:szCs w:val="24"/>
        </w:rPr>
      </w:pPr>
      <w:r w:rsidRPr="00034F4F">
        <w:rPr>
          <w:sz w:val="24"/>
          <w:szCs w:val="24"/>
        </w:rPr>
        <w:t xml:space="preserve">Available at: </w:t>
      </w:r>
      <w:r w:rsidRPr="00034F4F">
        <w:rPr>
          <w:sz w:val="24"/>
          <w:szCs w:val="24"/>
          <w:u w:val="single"/>
        </w:rPr>
        <w:t>http://insight.milliman.com/article.php?cntid=6114&amp;utm_campaign=</w:t>
      </w:r>
      <w:r w:rsidR="00034F4F">
        <w:rPr>
          <w:sz w:val="24"/>
          <w:szCs w:val="24"/>
          <w:u w:val="single"/>
        </w:rPr>
        <w:t xml:space="preserve"> </w:t>
      </w:r>
      <w:r w:rsidRPr="00034F4F">
        <w:rPr>
          <w:sz w:val="24"/>
          <w:szCs w:val="24"/>
          <w:u w:val="single"/>
        </w:rPr>
        <w:t>Milliman%20Redirect&amp;utm_source=milliman&amp;utm_medium=web&amp;utm_content=</w:t>
      </w:r>
      <w:r w:rsidR="00034F4F">
        <w:rPr>
          <w:sz w:val="24"/>
          <w:szCs w:val="24"/>
          <w:u w:val="single"/>
        </w:rPr>
        <w:t xml:space="preserve"> </w:t>
      </w:r>
      <w:r w:rsidRPr="00034F4F">
        <w:rPr>
          <w:sz w:val="24"/>
          <w:szCs w:val="24"/>
          <w:u w:val="single"/>
        </w:rPr>
        <w:t>articles/hedging-variable-annuity-guarantees-mgin07-01-04.php</w:t>
      </w:r>
      <w:r w:rsidR="00034F4F" w:rsidRPr="00034F4F">
        <w:rPr>
          <w:sz w:val="24"/>
          <w:szCs w:val="24"/>
        </w:rPr>
        <w:t xml:space="preserve"> </w:t>
      </w:r>
      <w:r w:rsidR="00034F4F">
        <w:rPr>
          <w:sz w:val="24"/>
          <w:szCs w:val="24"/>
        </w:rPr>
        <w:t xml:space="preserve">                                      </w:t>
      </w:r>
      <w:r w:rsidRPr="00034F4F">
        <w:rPr>
          <w:sz w:val="24"/>
          <w:szCs w:val="24"/>
        </w:rPr>
        <w:t xml:space="preserve">[Accessed </w:t>
      </w:r>
      <w:r w:rsidR="00034F4F" w:rsidRPr="00034F4F">
        <w:rPr>
          <w:sz w:val="24"/>
          <w:szCs w:val="24"/>
        </w:rPr>
        <w:t>28 September 2010</w:t>
      </w:r>
      <w:r w:rsidRPr="00034F4F">
        <w:rPr>
          <w:sz w:val="24"/>
          <w:szCs w:val="24"/>
        </w:rPr>
        <w:t xml:space="preserve">]. </w:t>
      </w:r>
    </w:p>
    <w:p w:rsidR="003B08E3" w:rsidRDefault="003B08E3" w:rsidP="00DC7D0C">
      <w:pPr>
        <w:spacing w:line="360" w:lineRule="auto"/>
        <w:rPr>
          <w:sz w:val="24"/>
          <w:szCs w:val="24"/>
        </w:rPr>
      </w:pPr>
      <w:proofErr w:type="gramStart"/>
      <w:r>
        <w:rPr>
          <w:sz w:val="24"/>
          <w:szCs w:val="24"/>
          <w:lang w:val="en-ZA"/>
        </w:rPr>
        <w:lastRenderedPageBreak/>
        <w:t>Special-loans.com, 2010.</w:t>
      </w:r>
      <w:proofErr w:type="gramEnd"/>
      <w:r>
        <w:rPr>
          <w:sz w:val="24"/>
          <w:szCs w:val="24"/>
          <w:lang w:val="en-ZA"/>
        </w:rPr>
        <w:t xml:space="preserve"> </w:t>
      </w:r>
      <w:proofErr w:type="gramStart"/>
      <w:r w:rsidRPr="003B08E3">
        <w:rPr>
          <w:i/>
          <w:sz w:val="24"/>
          <w:szCs w:val="24"/>
        </w:rPr>
        <w:t>Business and Personal Finance Dictionary</w:t>
      </w:r>
      <w:r>
        <w:rPr>
          <w:sz w:val="24"/>
          <w:szCs w:val="24"/>
        </w:rPr>
        <w:t>.</w:t>
      </w:r>
      <w:proofErr w:type="gramEnd"/>
      <w:r>
        <w:rPr>
          <w:sz w:val="24"/>
          <w:szCs w:val="24"/>
        </w:rPr>
        <w:t xml:space="preserve"> [</w:t>
      </w:r>
      <w:r w:rsidR="00D25716">
        <w:rPr>
          <w:sz w:val="24"/>
          <w:szCs w:val="24"/>
        </w:rPr>
        <w:t>Internet</w:t>
      </w:r>
      <w:r>
        <w:rPr>
          <w:sz w:val="24"/>
          <w:szCs w:val="24"/>
        </w:rPr>
        <w:t xml:space="preserve">] </w:t>
      </w:r>
      <w:r w:rsidR="001C5643">
        <w:rPr>
          <w:sz w:val="24"/>
          <w:szCs w:val="24"/>
        </w:rPr>
        <w:t xml:space="preserve">(Updated: 22 September 2010) Available at: </w:t>
      </w:r>
      <w:r w:rsidR="001C5643" w:rsidRPr="001C5643">
        <w:rPr>
          <w:sz w:val="24"/>
          <w:szCs w:val="24"/>
          <w:u w:val="single"/>
        </w:rPr>
        <w:t>http://www.special-loans.com/dictionary.asp?t=natural_hedge</w:t>
      </w:r>
      <w:r w:rsidR="001C5643">
        <w:rPr>
          <w:sz w:val="24"/>
          <w:szCs w:val="24"/>
        </w:rPr>
        <w:t xml:space="preserve"> [Accessed 22 September 2010]</w:t>
      </w:r>
    </w:p>
    <w:p w:rsidR="00B21660" w:rsidRPr="00B71E45" w:rsidRDefault="00B21660" w:rsidP="00DC7D0C">
      <w:pPr>
        <w:spacing w:line="360" w:lineRule="auto"/>
        <w:rPr>
          <w:i/>
          <w:sz w:val="24"/>
          <w:szCs w:val="24"/>
        </w:rPr>
      </w:pPr>
      <w:r w:rsidRPr="00B21660">
        <w:rPr>
          <w:sz w:val="24"/>
          <w:szCs w:val="24"/>
          <w:lang w:val="de-DE"/>
        </w:rPr>
        <w:t>Stevens, R., De Waegenaere, A. &amp; Melenberg, B.,</w:t>
      </w:r>
      <w:r>
        <w:rPr>
          <w:sz w:val="24"/>
          <w:szCs w:val="24"/>
          <w:lang w:val="de-DE"/>
        </w:rPr>
        <w:t xml:space="preserve"> 2009. </w:t>
      </w:r>
      <w:r w:rsidRPr="00B21660">
        <w:rPr>
          <w:i/>
          <w:sz w:val="24"/>
          <w:szCs w:val="24"/>
        </w:rPr>
        <w:t>Longevity risk and hedge effects in a portfolio of life insuranc</w:t>
      </w:r>
      <w:r>
        <w:rPr>
          <w:i/>
          <w:sz w:val="24"/>
          <w:szCs w:val="24"/>
        </w:rPr>
        <w:t xml:space="preserve">e products with investment risk, </w:t>
      </w:r>
      <w:r w:rsidRPr="00B21660">
        <w:rPr>
          <w:sz w:val="24"/>
          <w:szCs w:val="24"/>
        </w:rPr>
        <w:t>[</w:t>
      </w:r>
      <w:proofErr w:type="spellStart"/>
      <w:r w:rsidRPr="00B21660">
        <w:rPr>
          <w:sz w:val="24"/>
          <w:szCs w:val="24"/>
        </w:rPr>
        <w:t>pdf</w:t>
      </w:r>
      <w:proofErr w:type="spellEnd"/>
      <w:r w:rsidRPr="00B21660">
        <w:rPr>
          <w:sz w:val="24"/>
          <w:szCs w:val="24"/>
        </w:rPr>
        <w:t>].</w:t>
      </w:r>
      <w:r>
        <w:rPr>
          <w:sz w:val="24"/>
          <w:szCs w:val="24"/>
        </w:rPr>
        <w:t xml:space="preserve"> Inte</w:t>
      </w:r>
      <w:r w:rsidR="00B71E45">
        <w:rPr>
          <w:sz w:val="24"/>
          <w:szCs w:val="24"/>
        </w:rPr>
        <w:t>rnational actuarial association,</w:t>
      </w:r>
      <w:r>
        <w:rPr>
          <w:sz w:val="24"/>
          <w:szCs w:val="24"/>
        </w:rPr>
        <w:t xml:space="preserve"> Available at: </w:t>
      </w:r>
      <w:r w:rsidRPr="00B21660">
        <w:rPr>
          <w:sz w:val="24"/>
          <w:szCs w:val="24"/>
          <w:u w:val="single"/>
        </w:rPr>
        <w:t>http://www.actuaries.org/Munich2009/papers/LIFE/</w:t>
      </w:r>
      <w:r w:rsidR="00B71E45">
        <w:rPr>
          <w:sz w:val="24"/>
          <w:szCs w:val="24"/>
          <w:u w:val="single"/>
        </w:rPr>
        <w:t xml:space="preserve"> </w:t>
      </w:r>
      <w:r w:rsidRPr="00B21660">
        <w:rPr>
          <w:sz w:val="24"/>
          <w:szCs w:val="24"/>
          <w:u w:val="single"/>
        </w:rPr>
        <w:t>Wed_11.15_LIFE_Stevens_Financial_markets_Paper.pdf</w:t>
      </w:r>
      <w:r w:rsidR="00B71E45">
        <w:rPr>
          <w:sz w:val="24"/>
          <w:szCs w:val="24"/>
        </w:rPr>
        <w:t xml:space="preserve"> [Accessed 29 September 2010]</w:t>
      </w:r>
    </w:p>
    <w:p w:rsidR="00ED0B3A" w:rsidRPr="00ED0B3A" w:rsidRDefault="00ED0B3A" w:rsidP="00DC7D0C">
      <w:pPr>
        <w:spacing w:line="360" w:lineRule="auto"/>
        <w:rPr>
          <w:sz w:val="24"/>
          <w:szCs w:val="24"/>
        </w:rPr>
      </w:pPr>
      <w:proofErr w:type="spellStart"/>
      <w:proofErr w:type="gramStart"/>
      <w:r>
        <w:rPr>
          <w:sz w:val="24"/>
          <w:szCs w:val="24"/>
        </w:rPr>
        <w:t>Stoeckle</w:t>
      </w:r>
      <w:proofErr w:type="spellEnd"/>
      <w:r>
        <w:rPr>
          <w:sz w:val="24"/>
          <w:szCs w:val="24"/>
        </w:rPr>
        <w:t xml:space="preserve">, M., </w:t>
      </w:r>
      <w:proofErr w:type="spellStart"/>
      <w:r>
        <w:rPr>
          <w:sz w:val="24"/>
          <w:szCs w:val="24"/>
        </w:rPr>
        <w:t>Loddo</w:t>
      </w:r>
      <w:proofErr w:type="spellEnd"/>
      <w:r>
        <w:rPr>
          <w:sz w:val="24"/>
          <w:szCs w:val="24"/>
        </w:rPr>
        <w:t xml:space="preserve">, A. &amp; </w:t>
      </w:r>
      <w:proofErr w:type="spellStart"/>
      <w:r>
        <w:rPr>
          <w:sz w:val="24"/>
          <w:szCs w:val="24"/>
        </w:rPr>
        <w:t>Picone</w:t>
      </w:r>
      <w:proofErr w:type="spellEnd"/>
      <w:r>
        <w:rPr>
          <w:sz w:val="24"/>
          <w:szCs w:val="24"/>
        </w:rPr>
        <w:t>, D., 2008.</w:t>
      </w:r>
      <w:proofErr w:type="gramEnd"/>
      <w:r>
        <w:rPr>
          <w:sz w:val="24"/>
          <w:szCs w:val="24"/>
        </w:rPr>
        <w:t xml:space="preserve"> </w:t>
      </w:r>
      <w:r>
        <w:rPr>
          <w:i/>
          <w:sz w:val="24"/>
          <w:szCs w:val="24"/>
        </w:rPr>
        <w:t xml:space="preserve">A model for longevity swaps, </w:t>
      </w:r>
      <w:r>
        <w:rPr>
          <w:sz w:val="24"/>
          <w:szCs w:val="24"/>
        </w:rPr>
        <w:t>[</w:t>
      </w:r>
      <w:proofErr w:type="spellStart"/>
      <w:r>
        <w:rPr>
          <w:sz w:val="24"/>
          <w:szCs w:val="24"/>
        </w:rPr>
        <w:t>pdf</w:t>
      </w:r>
      <w:proofErr w:type="spellEnd"/>
      <w:r>
        <w:rPr>
          <w:sz w:val="24"/>
          <w:szCs w:val="24"/>
        </w:rPr>
        <w:t xml:space="preserve">]. Dresdner Kleinwort, Available at: </w:t>
      </w:r>
      <w:r w:rsidRPr="00ED0B3A">
        <w:rPr>
          <w:sz w:val="24"/>
          <w:szCs w:val="24"/>
          <w:u w:val="single"/>
        </w:rPr>
        <w:t>http://www.defaultrisk.com/_source_code/DK4-A_Model_4_Longevity_Swps.pdf</w:t>
      </w:r>
      <w:r>
        <w:rPr>
          <w:sz w:val="24"/>
          <w:szCs w:val="24"/>
        </w:rPr>
        <w:t xml:space="preserve"> [Accessed 29 September 2010]</w:t>
      </w:r>
    </w:p>
    <w:p w:rsidR="00A6158A" w:rsidRPr="00AB2B26" w:rsidRDefault="00A6158A" w:rsidP="00DC7D0C">
      <w:pPr>
        <w:spacing w:line="360" w:lineRule="auto"/>
        <w:rPr>
          <w:sz w:val="24"/>
          <w:szCs w:val="24"/>
        </w:rPr>
      </w:pPr>
      <w:r>
        <w:rPr>
          <w:sz w:val="24"/>
          <w:szCs w:val="24"/>
        </w:rPr>
        <w:t>Wang, J.L., Huang, H.C., Yang, S.S., Tsai, J.T.,</w:t>
      </w:r>
      <w:r w:rsidR="00AB2B26">
        <w:rPr>
          <w:sz w:val="24"/>
          <w:szCs w:val="24"/>
        </w:rPr>
        <w:t xml:space="preserve"> 2009.</w:t>
      </w:r>
      <w:r>
        <w:rPr>
          <w:sz w:val="24"/>
          <w:szCs w:val="24"/>
        </w:rPr>
        <w:t xml:space="preserve"> </w:t>
      </w:r>
      <w:r>
        <w:rPr>
          <w:i/>
          <w:sz w:val="24"/>
          <w:szCs w:val="24"/>
        </w:rPr>
        <w:t>An optimal product mix for hedging longevity risk in life insurance companies: The immunization theory approach</w:t>
      </w:r>
      <w:r w:rsidR="00AB2B26">
        <w:rPr>
          <w:sz w:val="24"/>
          <w:szCs w:val="24"/>
        </w:rPr>
        <w:t>, [</w:t>
      </w:r>
      <w:proofErr w:type="spellStart"/>
      <w:r w:rsidR="00AB2B26">
        <w:rPr>
          <w:sz w:val="24"/>
          <w:szCs w:val="24"/>
        </w:rPr>
        <w:t>pdf</w:t>
      </w:r>
      <w:proofErr w:type="spellEnd"/>
      <w:r w:rsidR="00AB2B26">
        <w:rPr>
          <w:sz w:val="24"/>
          <w:szCs w:val="24"/>
        </w:rPr>
        <w:t xml:space="preserve">]. </w:t>
      </w:r>
      <w:r w:rsidR="00B71E45">
        <w:rPr>
          <w:sz w:val="24"/>
          <w:szCs w:val="24"/>
        </w:rPr>
        <w:tab/>
      </w:r>
      <w:r w:rsidR="00B71E45">
        <w:rPr>
          <w:sz w:val="24"/>
          <w:szCs w:val="24"/>
        </w:rPr>
        <w:tab/>
        <w:t xml:space="preserve"> </w:t>
      </w:r>
      <w:r w:rsidR="00AB2B26">
        <w:rPr>
          <w:sz w:val="24"/>
          <w:szCs w:val="24"/>
        </w:rPr>
        <w:t xml:space="preserve">Journal of risk and insurance, Available at: </w:t>
      </w:r>
      <w:r w:rsidR="00AB2B26" w:rsidRPr="00AB2B26">
        <w:rPr>
          <w:sz w:val="24"/>
          <w:szCs w:val="24"/>
          <w:u w:val="single"/>
        </w:rPr>
        <w:t>http://onlinelibrary.wiley.com/doi/1</w:t>
      </w:r>
      <w:r w:rsidR="00B71E45">
        <w:rPr>
          <w:sz w:val="24"/>
          <w:szCs w:val="24"/>
          <w:u w:val="single"/>
        </w:rPr>
        <w:t>0.1111/j.1539-6975.2009.01325.x</w:t>
      </w:r>
      <w:r w:rsidR="00AB2B26" w:rsidRPr="00AB2B26">
        <w:rPr>
          <w:sz w:val="24"/>
          <w:szCs w:val="24"/>
          <w:u w:val="single"/>
        </w:rPr>
        <w:t>/pdf</w:t>
      </w:r>
      <w:r w:rsidR="00AB2B26" w:rsidRPr="00AB2B26">
        <w:rPr>
          <w:sz w:val="24"/>
          <w:szCs w:val="24"/>
        </w:rPr>
        <w:t xml:space="preserve"> </w:t>
      </w:r>
      <w:r w:rsidR="00AB2B26">
        <w:rPr>
          <w:sz w:val="24"/>
          <w:szCs w:val="24"/>
        </w:rPr>
        <w:t>[Accessed 28 September 2010]</w:t>
      </w:r>
    </w:p>
    <w:p w:rsidR="00DC7D0C" w:rsidRPr="00DC7D0C" w:rsidRDefault="00DC7D0C" w:rsidP="00DC7D0C">
      <w:pPr>
        <w:autoSpaceDE w:val="0"/>
        <w:autoSpaceDN w:val="0"/>
        <w:adjustRightInd w:val="0"/>
        <w:spacing w:line="360" w:lineRule="auto"/>
        <w:rPr>
          <w:rFonts w:cs="AdvT005"/>
          <w:sz w:val="24"/>
          <w:szCs w:val="24"/>
        </w:rPr>
      </w:pPr>
      <w:r w:rsidRPr="00DC7D0C">
        <w:rPr>
          <w:rFonts w:cs="AdvT005"/>
          <w:sz w:val="24"/>
          <w:szCs w:val="24"/>
        </w:rPr>
        <w:t>Willets, R.C., Gallop, A.P., Leandro, P.A., Lu, J.L.C., Macdonald, A.S., Miller, K.A., Richards, S.J., Robjohns, N., Ryan, J.P. &amp; Waters, H.R.,</w:t>
      </w:r>
      <w:r w:rsidR="00AB2B26">
        <w:rPr>
          <w:rFonts w:cs="AdvT005"/>
          <w:sz w:val="24"/>
          <w:szCs w:val="24"/>
        </w:rPr>
        <w:t xml:space="preserve"> 2004.</w:t>
      </w:r>
      <w:r w:rsidRPr="00DC7D0C">
        <w:rPr>
          <w:rFonts w:cs="AdvT005"/>
          <w:sz w:val="24"/>
          <w:szCs w:val="24"/>
        </w:rPr>
        <w:t xml:space="preserve"> </w:t>
      </w:r>
      <w:r>
        <w:rPr>
          <w:rFonts w:cs="AdvT005"/>
          <w:i/>
          <w:sz w:val="24"/>
          <w:szCs w:val="24"/>
        </w:rPr>
        <w:t>L</w:t>
      </w:r>
      <w:r w:rsidRPr="00DC7D0C">
        <w:rPr>
          <w:rFonts w:cs="AdvT005"/>
          <w:i/>
          <w:sz w:val="24"/>
          <w:szCs w:val="24"/>
        </w:rPr>
        <w:t>ongevity in the 21st century</w:t>
      </w:r>
      <w:r w:rsidRPr="00DC7D0C">
        <w:rPr>
          <w:rFonts w:cs="AdvT005"/>
          <w:sz w:val="24"/>
          <w:szCs w:val="24"/>
        </w:rPr>
        <w:t>,</w:t>
      </w:r>
      <w:r w:rsidR="00D25716">
        <w:rPr>
          <w:rFonts w:cs="AdvT005"/>
          <w:sz w:val="24"/>
          <w:szCs w:val="24"/>
        </w:rPr>
        <w:t xml:space="preserve"> [</w:t>
      </w:r>
      <w:proofErr w:type="spellStart"/>
      <w:r w:rsidR="00D25716">
        <w:rPr>
          <w:rFonts w:cs="AdvT005"/>
          <w:sz w:val="24"/>
          <w:szCs w:val="24"/>
        </w:rPr>
        <w:t>pdf</w:t>
      </w:r>
      <w:proofErr w:type="spellEnd"/>
      <w:r w:rsidR="00D25716">
        <w:rPr>
          <w:rFonts w:cs="AdvT005"/>
          <w:sz w:val="24"/>
          <w:szCs w:val="24"/>
        </w:rPr>
        <w:t>].</w:t>
      </w:r>
      <w:r w:rsidRPr="00DC7D0C">
        <w:rPr>
          <w:rFonts w:cs="AdvT005"/>
          <w:sz w:val="24"/>
          <w:szCs w:val="24"/>
        </w:rPr>
        <w:t xml:space="preserve"> Unpublished paper presented to the Faculty of Actuaries on 15 March 2004 and the Institute of Actuaries on 26 April 2004,</w:t>
      </w:r>
      <w:r>
        <w:rPr>
          <w:rFonts w:cs="AdvT005"/>
          <w:sz w:val="24"/>
          <w:szCs w:val="24"/>
        </w:rPr>
        <w:t xml:space="preserve"> Available at</w:t>
      </w:r>
      <w:r w:rsidRPr="00DC7D0C">
        <w:rPr>
          <w:rFonts w:cs="AdvT005"/>
          <w:sz w:val="24"/>
          <w:szCs w:val="24"/>
        </w:rPr>
        <w:t xml:space="preserve">: </w:t>
      </w:r>
      <w:r w:rsidRPr="00DC7D0C">
        <w:rPr>
          <w:sz w:val="24"/>
          <w:szCs w:val="24"/>
          <w:u w:val="single"/>
          <w:lang w:val="en-ZA"/>
        </w:rPr>
        <w:t>http://aging-management.com/Longevity%20in%20the%2021st %20Century%20-%20Willett.pdf</w:t>
      </w:r>
      <w:r>
        <w:rPr>
          <w:sz w:val="24"/>
          <w:szCs w:val="24"/>
          <w:lang w:val="en-ZA"/>
        </w:rPr>
        <w:t xml:space="preserve"> [Accessed 28 September 2010]</w:t>
      </w:r>
    </w:p>
    <w:p w:rsidR="00A66564" w:rsidRPr="005E4243" w:rsidRDefault="00FE2718" w:rsidP="00DC7D0C">
      <w:pPr>
        <w:autoSpaceDE w:val="0"/>
        <w:autoSpaceDN w:val="0"/>
        <w:adjustRightInd w:val="0"/>
        <w:spacing w:line="360" w:lineRule="auto"/>
        <w:rPr>
          <w:sz w:val="24"/>
          <w:szCs w:val="24"/>
          <w:lang w:val="en-ZA"/>
        </w:rPr>
      </w:pPr>
      <w:proofErr w:type="gramStart"/>
      <w:r w:rsidRPr="005E4243">
        <w:rPr>
          <w:sz w:val="24"/>
          <w:szCs w:val="24"/>
          <w:lang w:val="en-ZA"/>
        </w:rPr>
        <w:t>World Health Organization, 2010.</w:t>
      </w:r>
      <w:proofErr w:type="gramEnd"/>
      <w:r w:rsidRPr="005E4243">
        <w:rPr>
          <w:sz w:val="24"/>
          <w:szCs w:val="24"/>
          <w:lang w:val="en-ZA"/>
        </w:rPr>
        <w:t xml:space="preserve"> </w:t>
      </w:r>
      <w:proofErr w:type="gramStart"/>
      <w:r w:rsidRPr="005E4243">
        <w:rPr>
          <w:i/>
          <w:sz w:val="24"/>
          <w:szCs w:val="24"/>
          <w:lang w:val="en-ZA"/>
        </w:rPr>
        <w:t>World Health Statistics 2010</w:t>
      </w:r>
      <w:r w:rsidR="001C5643">
        <w:rPr>
          <w:i/>
          <w:sz w:val="24"/>
          <w:szCs w:val="24"/>
          <w:lang w:val="en-ZA"/>
        </w:rPr>
        <w:t>.</w:t>
      </w:r>
      <w:proofErr w:type="gramEnd"/>
      <w:r w:rsidRPr="005E4243">
        <w:rPr>
          <w:sz w:val="24"/>
          <w:szCs w:val="24"/>
          <w:lang w:val="en-ZA"/>
        </w:rPr>
        <w:t xml:space="preserve"> [</w:t>
      </w:r>
      <w:proofErr w:type="spellStart"/>
      <w:proofErr w:type="gramStart"/>
      <w:r w:rsidRPr="005E4243">
        <w:rPr>
          <w:sz w:val="24"/>
          <w:szCs w:val="24"/>
          <w:lang w:val="en-ZA"/>
        </w:rPr>
        <w:t>pdf</w:t>
      </w:r>
      <w:proofErr w:type="spellEnd"/>
      <w:proofErr w:type="gramEnd"/>
      <w:r w:rsidRPr="005E4243">
        <w:rPr>
          <w:sz w:val="24"/>
          <w:szCs w:val="24"/>
          <w:lang w:val="en-ZA"/>
        </w:rPr>
        <w:t xml:space="preserve">]. Available at: </w:t>
      </w:r>
      <w:r w:rsidRPr="005E4243">
        <w:rPr>
          <w:sz w:val="24"/>
          <w:szCs w:val="24"/>
          <w:u w:val="single"/>
          <w:lang w:val="en-ZA"/>
        </w:rPr>
        <w:t>http://www.who.int/whosis/whostat/EN_WHS10_Full.pdf</w:t>
      </w:r>
      <w:r w:rsidRPr="005E4243">
        <w:rPr>
          <w:sz w:val="24"/>
          <w:szCs w:val="24"/>
          <w:lang w:val="en-ZA"/>
        </w:rPr>
        <w:t xml:space="preserve"> [Accessed 9 September 2010]</w:t>
      </w:r>
    </w:p>
    <w:sectPr w:rsidR="00A66564" w:rsidRPr="005E4243" w:rsidSect="009E786F">
      <w:footerReference w:type="default" r:id="rId3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B57" w:rsidRDefault="002B3B57" w:rsidP="009E786F">
      <w:pPr>
        <w:spacing w:after="0" w:line="240" w:lineRule="auto"/>
      </w:pPr>
      <w:r>
        <w:separator/>
      </w:r>
    </w:p>
  </w:endnote>
  <w:endnote w:type="continuationSeparator" w:id="0">
    <w:p w:rsidR="002B3B57" w:rsidRDefault="002B3B57" w:rsidP="009E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RWPalladioL-Roma">
    <w:panose1 w:val="00000000000000000000"/>
    <w:charset w:val="00"/>
    <w:family w:val="auto"/>
    <w:notTrueType/>
    <w:pitch w:val="default"/>
    <w:sig w:usb0="00000003" w:usb1="00000000" w:usb2="00000000" w:usb3="00000000" w:csb0="00000001" w:csb1="00000000"/>
  </w:font>
  <w:font w:name="AdvT001">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T005">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679935"/>
      <w:docPartObj>
        <w:docPartGallery w:val="Page Numbers (Bottom of Page)"/>
        <w:docPartUnique/>
      </w:docPartObj>
    </w:sdtPr>
    <w:sdtContent>
      <w:p w:rsidR="006D3E21" w:rsidRDefault="006D3E21">
        <w:pPr>
          <w:pStyle w:val="Footer"/>
          <w:jc w:val="right"/>
        </w:pPr>
        <w:r>
          <w:t xml:space="preserve">Page | </w:t>
        </w:r>
        <w:r>
          <w:fldChar w:fldCharType="begin"/>
        </w:r>
        <w:r>
          <w:instrText xml:space="preserve"> PAGE   \* MERGEFORMAT </w:instrText>
        </w:r>
        <w:r>
          <w:fldChar w:fldCharType="separate"/>
        </w:r>
        <w:r w:rsidR="00E20C89">
          <w:rPr>
            <w:noProof/>
          </w:rPr>
          <w:t>3</w:t>
        </w:r>
        <w:r>
          <w:rPr>
            <w:noProof/>
          </w:rPr>
          <w:fldChar w:fldCharType="end"/>
        </w:r>
        <w:r>
          <w:t xml:space="preserve"> </w:t>
        </w:r>
      </w:p>
    </w:sdtContent>
  </w:sdt>
  <w:p w:rsidR="006D3E21" w:rsidRDefault="006D3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B57" w:rsidRDefault="002B3B57" w:rsidP="009E786F">
      <w:pPr>
        <w:spacing w:after="0" w:line="240" w:lineRule="auto"/>
      </w:pPr>
      <w:r>
        <w:separator/>
      </w:r>
    </w:p>
  </w:footnote>
  <w:footnote w:type="continuationSeparator" w:id="0">
    <w:p w:rsidR="002B3B57" w:rsidRDefault="002B3B57" w:rsidP="009E786F">
      <w:pPr>
        <w:spacing w:after="0" w:line="240" w:lineRule="auto"/>
      </w:pPr>
      <w:r>
        <w:continuationSeparator/>
      </w:r>
    </w:p>
  </w:footnote>
  <w:footnote w:id="1">
    <w:p w:rsidR="006D3E21" w:rsidRPr="00E03A12" w:rsidRDefault="006D3E21">
      <w:pPr>
        <w:pStyle w:val="FootnoteText"/>
        <w:rPr>
          <w:lang w:val="en-ZA"/>
        </w:rPr>
      </w:pPr>
      <w:r>
        <w:rPr>
          <w:rStyle w:val="FootnoteReference"/>
        </w:rPr>
        <w:footnoteRef/>
      </w:r>
      <w:r>
        <w:t xml:space="preserve"> </w:t>
      </w:r>
      <w:r>
        <w:rPr>
          <w:lang w:val="en-ZA"/>
        </w:rPr>
        <w:t>Pairing individual annuities with individual assurances, then what is left after the first pairing forms part of the second pairing, and so on.</w:t>
      </w:r>
    </w:p>
  </w:footnote>
  <w:footnote w:id="2">
    <w:p w:rsidR="006D3E21" w:rsidRPr="00C13D4B" w:rsidRDefault="006D3E21">
      <w:pPr>
        <w:pStyle w:val="FootnoteText"/>
        <w:rPr>
          <w:lang w:val="en-ZA"/>
        </w:rPr>
      </w:pPr>
      <w:r>
        <w:rPr>
          <w:rStyle w:val="FootnoteReference"/>
        </w:rPr>
        <w:footnoteRef/>
      </w:r>
      <w:r>
        <w:t xml:space="preserve"> </w:t>
      </w:r>
      <w:r>
        <w:rPr>
          <w:lang w:val="en-ZA"/>
        </w:rPr>
        <w:t xml:space="preserve">The currency unit for the rest of the paper will be South African </w:t>
      </w:r>
      <w:proofErr w:type="spellStart"/>
      <w:r>
        <w:rPr>
          <w:lang w:val="en-ZA"/>
        </w:rPr>
        <w:t>Rands</w:t>
      </w:r>
      <w:proofErr w:type="spellEnd"/>
      <w:r>
        <w:rPr>
          <w:lang w:val="en-ZA"/>
        </w:rPr>
        <w:t xml:space="preserve"> where say five </w:t>
      </w:r>
      <w:proofErr w:type="spellStart"/>
      <w:r>
        <w:rPr>
          <w:lang w:val="en-ZA"/>
        </w:rPr>
        <w:t>Rands</w:t>
      </w:r>
      <w:proofErr w:type="spellEnd"/>
      <w:r>
        <w:rPr>
          <w:lang w:val="en-ZA"/>
        </w:rPr>
        <w:t xml:space="preserve"> = R5.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F9C"/>
    <w:multiLevelType w:val="hybridMultilevel"/>
    <w:tmpl w:val="1068C3C0"/>
    <w:lvl w:ilvl="0" w:tplc="0409000F">
      <w:start w:val="1"/>
      <w:numFmt w:val="decimal"/>
      <w:lvlText w:val="%1."/>
      <w:lvlJc w:val="left"/>
      <w:pPr>
        <w:ind w:left="3589" w:hanging="360"/>
      </w:p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1">
    <w:nsid w:val="08932E15"/>
    <w:multiLevelType w:val="hybridMultilevel"/>
    <w:tmpl w:val="45D08B30"/>
    <w:lvl w:ilvl="0" w:tplc="0409000F">
      <w:start w:val="1"/>
      <w:numFmt w:val="decimal"/>
      <w:lvlText w:val="%1."/>
      <w:lvlJc w:val="left"/>
      <w:pPr>
        <w:ind w:left="3589" w:hanging="360"/>
      </w:p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2">
    <w:nsid w:val="112D2089"/>
    <w:multiLevelType w:val="hybridMultilevel"/>
    <w:tmpl w:val="EE3E89D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7DE6361"/>
    <w:multiLevelType w:val="hybridMultilevel"/>
    <w:tmpl w:val="93C80B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1124A0E"/>
    <w:multiLevelType w:val="hybridMultilevel"/>
    <w:tmpl w:val="5A98DF64"/>
    <w:lvl w:ilvl="0" w:tplc="0409000F">
      <w:start w:val="1"/>
      <w:numFmt w:val="decimal"/>
      <w:lvlText w:val="%1."/>
      <w:lvlJc w:val="left"/>
      <w:pPr>
        <w:ind w:left="3589" w:hanging="360"/>
      </w:p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5">
    <w:nsid w:val="35830E8A"/>
    <w:multiLevelType w:val="hybridMultilevel"/>
    <w:tmpl w:val="E5047A5A"/>
    <w:lvl w:ilvl="0" w:tplc="04090001">
      <w:start w:val="1"/>
      <w:numFmt w:val="bullet"/>
      <w:lvlText w:val=""/>
      <w:lvlJc w:val="left"/>
      <w:pPr>
        <w:ind w:left="3589" w:hanging="360"/>
      </w:pPr>
      <w:rPr>
        <w:rFonts w:ascii="Symbol" w:hAnsi="Symbol" w:hint="default"/>
      </w:rPr>
    </w:lvl>
    <w:lvl w:ilvl="1" w:tplc="04090003" w:tentative="1">
      <w:start w:val="1"/>
      <w:numFmt w:val="bullet"/>
      <w:lvlText w:val="o"/>
      <w:lvlJc w:val="left"/>
      <w:pPr>
        <w:ind w:left="4309" w:hanging="360"/>
      </w:pPr>
      <w:rPr>
        <w:rFonts w:ascii="Courier New" w:hAnsi="Courier New" w:cs="Courier New" w:hint="default"/>
      </w:rPr>
    </w:lvl>
    <w:lvl w:ilvl="2" w:tplc="04090005" w:tentative="1">
      <w:start w:val="1"/>
      <w:numFmt w:val="bullet"/>
      <w:lvlText w:val=""/>
      <w:lvlJc w:val="left"/>
      <w:pPr>
        <w:ind w:left="5029" w:hanging="360"/>
      </w:pPr>
      <w:rPr>
        <w:rFonts w:ascii="Wingdings" w:hAnsi="Wingdings" w:hint="default"/>
      </w:rPr>
    </w:lvl>
    <w:lvl w:ilvl="3" w:tplc="04090001" w:tentative="1">
      <w:start w:val="1"/>
      <w:numFmt w:val="bullet"/>
      <w:lvlText w:val=""/>
      <w:lvlJc w:val="left"/>
      <w:pPr>
        <w:ind w:left="5749" w:hanging="360"/>
      </w:pPr>
      <w:rPr>
        <w:rFonts w:ascii="Symbol" w:hAnsi="Symbol" w:hint="default"/>
      </w:rPr>
    </w:lvl>
    <w:lvl w:ilvl="4" w:tplc="04090003" w:tentative="1">
      <w:start w:val="1"/>
      <w:numFmt w:val="bullet"/>
      <w:lvlText w:val="o"/>
      <w:lvlJc w:val="left"/>
      <w:pPr>
        <w:ind w:left="6469" w:hanging="360"/>
      </w:pPr>
      <w:rPr>
        <w:rFonts w:ascii="Courier New" w:hAnsi="Courier New" w:cs="Courier New" w:hint="default"/>
      </w:rPr>
    </w:lvl>
    <w:lvl w:ilvl="5" w:tplc="04090005" w:tentative="1">
      <w:start w:val="1"/>
      <w:numFmt w:val="bullet"/>
      <w:lvlText w:val=""/>
      <w:lvlJc w:val="left"/>
      <w:pPr>
        <w:ind w:left="7189" w:hanging="360"/>
      </w:pPr>
      <w:rPr>
        <w:rFonts w:ascii="Wingdings" w:hAnsi="Wingdings" w:hint="default"/>
      </w:rPr>
    </w:lvl>
    <w:lvl w:ilvl="6" w:tplc="04090001" w:tentative="1">
      <w:start w:val="1"/>
      <w:numFmt w:val="bullet"/>
      <w:lvlText w:val=""/>
      <w:lvlJc w:val="left"/>
      <w:pPr>
        <w:ind w:left="7909" w:hanging="360"/>
      </w:pPr>
      <w:rPr>
        <w:rFonts w:ascii="Symbol" w:hAnsi="Symbol" w:hint="default"/>
      </w:rPr>
    </w:lvl>
    <w:lvl w:ilvl="7" w:tplc="04090003" w:tentative="1">
      <w:start w:val="1"/>
      <w:numFmt w:val="bullet"/>
      <w:lvlText w:val="o"/>
      <w:lvlJc w:val="left"/>
      <w:pPr>
        <w:ind w:left="8629" w:hanging="360"/>
      </w:pPr>
      <w:rPr>
        <w:rFonts w:ascii="Courier New" w:hAnsi="Courier New" w:cs="Courier New" w:hint="default"/>
      </w:rPr>
    </w:lvl>
    <w:lvl w:ilvl="8" w:tplc="04090005" w:tentative="1">
      <w:start w:val="1"/>
      <w:numFmt w:val="bullet"/>
      <w:lvlText w:val=""/>
      <w:lvlJc w:val="left"/>
      <w:pPr>
        <w:ind w:left="9349" w:hanging="360"/>
      </w:pPr>
      <w:rPr>
        <w:rFonts w:ascii="Wingdings" w:hAnsi="Wingdings" w:hint="default"/>
      </w:rPr>
    </w:lvl>
  </w:abstractNum>
  <w:abstractNum w:abstractNumId="6">
    <w:nsid w:val="37DA5D2A"/>
    <w:multiLevelType w:val="multilevel"/>
    <w:tmpl w:val="D5ACAEF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C7808BB"/>
    <w:multiLevelType w:val="hybridMultilevel"/>
    <w:tmpl w:val="41F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217F24"/>
    <w:multiLevelType w:val="hybridMultilevel"/>
    <w:tmpl w:val="CAE6580C"/>
    <w:lvl w:ilvl="0" w:tplc="1C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3F4416"/>
    <w:multiLevelType w:val="hybridMultilevel"/>
    <w:tmpl w:val="8B92D47C"/>
    <w:lvl w:ilvl="0" w:tplc="1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15625C"/>
    <w:multiLevelType w:val="hybridMultilevel"/>
    <w:tmpl w:val="39CA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FC68CA"/>
    <w:multiLevelType w:val="hybridMultilevel"/>
    <w:tmpl w:val="BD44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7"/>
  </w:num>
  <w:num w:numId="6">
    <w:abstractNumId w:val="10"/>
  </w:num>
  <w:num w:numId="7">
    <w:abstractNumId w:val="11"/>
  </w:num>
  <w:num w:numId="8">
    <w:abstractNumId w:val="6"/>
  </w:num>
  <w:num w:numId="9">
    <w:abstractNumId w:val="3"/>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AMO_XmlVersion" w:val="Empty"/>
  </w:docVars>
  <w:rsids>
    <w:rsidRoot w:val="005079CB"/>
    <w:rsid w:val="00001F76"/>
    <w:rsid w:val="0000604D"/>
    <w:rsid w:val="00011D26"/>
    <w:rsid w:val="0002296D"/>
    <w:rsid w:val="0002535C"/>
    <w:rsid w:val="00034F4F"/>
    <w:rsid w:val="000367AA"/>
    <w:rsid w:val="00040321"/>
    <w:rsid w:val="000669A2"/>
    <w:rsid w:val="00073BD3"/>
    <w:rsid w:val="00084F48"/>
    <w:rsid w:val="00086199"/>
    <w:rsid w:val="00087670"/>
    <w:rsid w:val="00093C76"/>
    <w:rsid w:val="000A07AF"/>
    <w:rsid w:val="000A5935"/>
    <w:rsid w:val="000A63BA"/>
    <w:rsid w:val="000D231D"/>
    <w:rsid w:val="000D7935"/>
    <w:rsid w:val="000E4970"/>
    <w:rsid w:val="000E782C"/>
    <w:rsid w:val="000F076F"/>
    <w:rsid w:val="000F48CF"/>
    <w:rsid w:val="00102C3B"/>
    <w:rsid w:val="001079FC"/>
    <w:rsid w:val="001206DB"/>
    <w:rsid w:val="0012146A"/>
    <w:rsid w:val="0012231D"/>
    <w:rsid w:val="00127859"/>
    <w:rsid w:val="00144FE7"/>
    <w:rsid w:val="00145751"/>
    <w:rsid w:val="00161809"/>
    <w:rsid w:val="001627C3"/>
    <w:rsid w:val="00164FCB"/>
    <w:rsid w:val="001745C8"/>
    <w:rsid w:val="00182692"/>
    <w:rsid w:val="001841CB"/>
    <w:rsid w:val="00192BAA"/>
    <w:rsid w:val="00195C86"/>
    <w:rsid w:val="0019784B"/>
    <w:rsid w:val="001A782B"/>
    <w:rsid w:val="001B2A92"/>
    <w:rsid w:val="001B66AF"/>
    <w:rsid w:val="001C1AA2"/>
    <w:rsid w:val="001C5643"/>
    <w:rsid w:val="001D69F4"/>
    <w:rsid w:val="001E1713"/>
    <w:rsid w:val="001E18A7"/>
    <w:rsid w:val="001E4729"/>
    <w:rsid w:val="001E780C"/>
    <w:rsid w:val="001F12A3"/>
    <w:rsid w:val="0021579D"/>
    <w:rsid w:val="0022545D"/>
    <w:rsid w:val="0022687D"/>
    <w:rsid w:val="002311B1"/>
    <w:rsid w:val="00236AF7"/>
    <w:rsid w:val="00245871"/>
    <w:rsid w:val="00257CB7"/>
    <w:rsid w:val="0026082A"/>
    <w:rsid w:val="002622B5"/>
    <w:rsid w:val="0026472E"/>
    <w:rsid w:val="0027097F"/>
    <w:rsid w:val="002736C8"/>
    <w:rsid w:val="00281D74"/>
    <w:rsid w:val="00285277"/>
    <w:rsid w:val="002952DA"/>
    <w:rsid w:val="002A4AD4"/>
    <w:rsid w:val="002A5A4A"/>
    <w:rsid w:val="002B2B63"/>
    <w:rsid w:val="002B3B57"/>
    <w:rsid w:val="002B6962"/>
    <w:rsid w:val="002C34F7"/>
    <w:rsid w:val="002D54F2"/>
    <w:rsid w:val="002E670B"/>
    <w:rsid w:val="00303F1B"/>
    <w:rsid w:val="0030423E"/>
    <w:rsid w:val="00311072"/>
    <w:rsid w:val="003143A9"/>
    <w:rsid w:val="00324DA3"/>
    <w:rsid w:val="00340997"/>
    <w:rsid w:val="0034589E"/>
    <w:rsid w:val="0037647B"/>
    <w:rsid w:val="0037663F"/>
    <w:rsid w:val="00385ABD"/>
    <w:rsid w:val="0038726D"/>
    <w:rsid w:val="00391A72"/>
    <w:rsid w:val="00396BC6"/>
    <w:rsid w:val="00396F45"/>
    <w:rsid w:val="003A5097"/>
    <w:rsid w:val="003A53DB"/>
    <w:rsid w:val="003A6C70"/>
    <w:rsid w:val="003A715E"/>
    <w:rsid w:val="003B08E3"/>
    <w:rsid w:val="003C48DE"/>
    <w:rsid w:val="003C6CB7"/>
    <w:rsid w:val="003C702E"/>
    <w:rsid w:val="003D75D3"/>
    <w:rsid w:val="003D7880"/>
    <w:rsid w:val="003E07B3"/>
    <w:rsid w:val="003F21A4"/>
    <w:rsid w:val="003F2843"/>
    <w:rsid w:val="003F5E09"/>
    <w:rsid w:val="004070A1"/>
    <w:rsid w:val="00421551"/>
    <w:rsid w:val="00422447"/>
    <w:rsid w:val="00433A2F"/>
    <w:rsid w:val="004341CB"/>
    <w:rsid w:val="00437C86"/>
    <w:rsid w:val="004618AB"/>
    <w:rsid w:val="004630A8"/>
    <w:rsid w:val="00463C6E"/>
    <w:rsid w:val="0047297C"/>
    <w:rsid w:val="004845D7"/>
    <w:rsid w:val="004B01C2"/>
    <w:rsid w:val="004C0F3E"/>
    <w:rsid w:val="004D5D23"/>
    <w:rsid w:val="004E6F9F"/>
    <w:rsid w:val="004F356A"/>
    <w:rsid w:val="00506CAF"/>
    <w:rsid w:val="005079CB"/>
    <w:rsid w:val="00514156"/>
    <w:rsid w:val="0052611B"/>
    <w:rsid w:val="005264DA"/>
    <w:rsid w:val="00531A56"/>
    <w:rsid w:val="00532974"/>
    <w:rsid w:val="0054698E"/>
    <w:rsid w:val="00552B20"/>
    <w:rsid w:val="005544A4"/>
    <w:rsid w:val="00560AE6"/>
    <w:rsid w:val="005614BA"/>
    <w:rsid w:val="005641F9"/>
    <w:rsid w:val="005A678A"/>
    <w:rsid w:val="005C0730"/>
    <w:rsid w:val="005C7218"/>
    <w:rsid w:val="005D67B9"/>
    <w:rsid w:val="005E250F"/>
    <w:rsid w:val="005E4243"/>
    <w:rsid w:val="005E47B9"/>
    <w:rsid w:val="005E5361"/>
    <w:rsid w:val="005F0088"/>
    <w:rsid w:val="0061173B"/>
    <w:rsid w:val="00611E82"/>
    <w:rsid w:val="006220C3"/>
    <w:rsid w:val="0063033D"/>
    <w:rsid w:val="006313A6"/>
    <w:rsid w:val="00636721"/>
    <w:rsid w:val="00640659"/>
    <w:rsid w:val="00642744"/>
    <w:rsid w:val="00651234"/>
    <w:rsid w:val="006532B2"/>
    <w:rsid w:val="00656A72"/>
    <w:rsid w:val="00681A37"/>
    <w:rsid w:val="006851E0"/>
    <w:rsid w:val="00690271"/>
    <w:rsid w:val="00696A41"/>
    <w:rsid w:val="006A42BB"/>
    <w:rsid w:val="006B5774"/>
    <w:rsid w:val="006D3E21"/>
    <w:rsid w:val="006D4E4C"/>
    <w:rsid w:val="006D5E43"/>
    <w:rsid w:val="006E792F"/>
    <w:rsid w:val="006F4AF3"/>
    <w:rsid w:val="006F5D8D"/>
    <w:rsid w:val="006F6849"/>
    <w:rsid w:val="00702908"/>
    <w:rsid w:val="00711A08"/>
    <w:rsid w:val="00725882"/>
    <w:rsid w:val="00730B1A"/>
    <w:rsid w:val="00731712"/>
    <w:rsid w:val="00731BE6"/>
    <w:rsid w:val="007505F0"/>
    <w:rsid w:val="00755514"/>
    <w:rsid w:val="00761DF8"/>
    <w:rsid w:val="00765D35"/>
    <w:rsid w:val="00777AB6"/>
    <w:rsid w:val="00777ED6"/>
    <w:rsid w:val="007824AC"/>
    <w:rsid w:val="0079304C"/>
    <w:rsid w:val="0079602E"/>
    <w:rsid w:val="007A7976"/>
    <w:rsid w:val="007B5778"/>
    <w:rsid w:val="007C5265"/>
    <w:rsid w:val="007D0C72"/>
    <w:rsid w:val="007E61D0"/>
    <w:rsid w:val="008021FF"/>
    <w:rsid w:val="00806775"/>
    <w:rsid w:val="008248A7"/>
    <w:rsid w:val="008259CE"/>
    <w:rsid w:val="00846A41"/>
    <w:rsid w:val="00851F63"/>
    <w:rsid w:val="0086476B"/>
    <w:rsid w:val="00864EB7"/>
    <w:rsid w:val="00870D9D"/>
    <w:rsid w:val="00872BE5"/>
    <w:rsid w:val="00875CA6"/>
    <w:rsid w:val="008804F4"/>
    <w:rsid w:val="00882183"/>
    <w:rsid w:val="008860BB"/>
    <w:rsid w:val="008862A3"/>
    <w:rsid w:val="008A5C17"/>
    <w:rsid w:val="008B300C"/>
    <w:rsid w:val="008B3691"/>
    <w:rsid w:val="008B7C1B"/>
    <w:rsid w:val="008C47B5"/>
    <w:rsid w:val="008D20C5"/>
    <w:rsid w:val="008D3156"/>
    <w:rsid w:val="009206C2"/>
    <w:rsid w:val="0092244A"/>
    <w:rsid w:val="009317EA"/>
    <w:rsid w:val="009374DA"/>
    <w:rsid w:val="00941986"/>
    <w:rsid w:val="009440A7"/>
    <w:rsid w:val="0094517D"/>
    <w:rsid w:val="0096208C"/>
    <w:rsid w:val="00964C75"/>
    <w:rsid w:val="00966249"/>
    <w:rsid w:val="00985648"/>
    <w:rsid w:val="00996E60"/>
    <w:rsid w:val="009A26C0"/>
    <w:rsid w:val="009B1969"/>
    <w:rsid w:val="009C4D32"/>
    <w:rsid w:val="009D1703"/>
    <w:rsid w:val="009D672B"/>
    <w:rsid w:val="009E786F"/>
    <w:rsid w:val="009F4B70"/>
    <w:rsid w:val="00A030D6"/>
    <w:rsid w:val="00A06E62"/>
    <w:rsid w:val="00A21264"/>
    <w:rsid w:val="00A21ACD"/>
    <w:rsid w:val="00A32CE4"/>
    <w:rsid w:val="00A35EA5"/>
    <w:rsid w:val="00A36E22"/>
    <w:rsid w:val="00A470DA"/>
    <w:rsid w:val="00A50BAC"/>
    <w:rsid w:val="00A54B59"/>
    <w:rsid w:val="00A6046C"/>
    <w:rsid w:val="00A6158A"/>
    <w:rsid w:val="00A66564"/>
    <w:rsid w:val="00A81459"/>
    <w:rsid w:val="00A85D5D"/>
    <w:rsid w:val="00AA1796"/>
    <w:rsid w:val="00AB25F1"/>
    <w:rsid w:val="00AB2B26"/>
    <w:rsid w:val="00AC01E6"/>
    <w:rsid w:val="00AD144F"/>
    <w:rsid w:val="00AD44B6"/>
    <w:rsid w:val="00AD5C0C"/>
    <w:rsid w:val="00AE1561"/>
    <w:rsid w:val="00AE3773"/>
    <w:rsid w:val="00AE77A4"/>
    <w:rsid w:val="00B050B6"/>
    <w:rsid w:val="00B13BC0"/>
    <w:rsid w:val="00B212D0"/>
    <w:rsid w:val="00B21660"/>
    <w:rsid w:val="00B24814"/>
    <w:rsid w:val="00B26372"/>
    <w:rsid w:val="00B26E07"/>
    <w:rsid w:val="00B31A25"/>
    <w:rsid w:val="00B50A30"/>
    <w:rsid w:val="00B51DB5"/>
    <w:rsid w:val="00B52BA8"/>
    <w:rsid w:val="00B56E94"/>
    <w:rsid w:val="00B71E45"/>
    <w:rsid w:val="00B81A04"/>
    <w:rsid w:val="00B83D92"/>
    <w:rsid w:val="00B85D36"/>
    <w:rsid w:val="00B91CEA"/>
    <w:rsid w:val="00BA593F"/>
    <w:rsid w:val="00BB09C6"/>
    <w:rsid w:val="00BB7E17"/>
    <w:rsid w:val="00BC2D38"/>
    <w:rsid w:val="00BD1DD9"/>
    <w:rsid w:val="00BD3BF9"/>
    <w:rsid w:val="00BE0A30"/>
    <w:rsid w:val="00BE3D91"/>
    <w:rsid w:val="00BF1E2C"/>
    <w:rsid w:val="00BF7DD1"/>
    <w:rsid w:val="00C13D4B"/>
    <w:rsid w:val="00C22909"/>
    <w:rsid w:val="00C266A5"/>
    <w:rsid w:val="00C63946"/>
    <w:rsid w:val="00C90BF2"/>
    <w:rsid w:val="00C92965"/>
    <w:rsid w:val="00C95809"/>
    <w:rsid w:val="00CA69EC"/>
    <w:rsid w:val="00CC4037"/>
    <w:rsid w:val="00CC6854"/>
    <w:rsid w:val="00CD690A"/>
    <w:rsid w:val="00CE003C"/>
    <w:rsid w:val="00CE32DE"/>
    <w:rsid w:val="00D002AC"/>
    <w:rsid w:val="00D11D7F"/>
    <w:rsid w:val="00D15112"/>
    <w:rsid w:val="00D25716"/>
    <w:rsid w:val="00D263B8"/>
    <w:rsid w:val="00D3210D"/>
    <w:rsid w:val="00D35FAA"/>
    <w:rsid w:val="00D4495A"/>
    <w:rsid w:val="00D45D1C"/>
    <w:rsid w:val="00D46206"/>
    <w:rsid w:val="00D547B0"/>
    <w:rsid w:val="00D54BA8"/>
    <w:rsid w:val="00D6657D"/>
    <w:rsid w:val="00D7454E"/>
    <w:rsid w:val="00D755AC"/>
    <w:rsid w:val="00D96DD1"/>
    <w:rsid w:val="00DA4EF6"/>
    <w:rsid w:val="00DC0C4C"/>
    <w:rsid w:val="00DC7D0C"/>
    <w:rsid w:val="00DD0694"/>
    <w:rsid w:val="00DD4A41"/>
    <w:rsid w:val="00DE5F35"/>
    <w:rsid w:val="00DE6671"/>
    <w:rsid w:val="00DE6C9D"/>
    <w:rsid w:val="00DF65BC"/>
    <w:rsid w:val="00E002DB"/>
    <w:rsid w:val="00E03A12"/>
    <w:rsid w:val="00E20C89"/>
    <w:rsid w:val="00E240CE"/>
    <w:rsid w:val="00E25CEC"/>
    <w:rsid w:val="00E36FFB"/>
    <w:rsid w:val="00E56B2D"/>
    <w:rsid w:val="00E613A8"/>
    <w:rsid w:val="00E71631"/>
    <w:rsid w:val="00E742F3"/>
    <w:rsid w:val="00E77412"/>
    <w:rsid w:val="00E802F7"/>
    <w:rsid w:val="00E84208"/>
    <w:rsid w:val="00EA1432"/>
    <w:rsid w:val="00EA1BC1"/>
    <w:rsid w:val="00EB5188"/>
    <w:rsid w:val="00EB6798"/>
    <w:rsid w:val="00EC018B"/>
    <w:rsid w:val="00EC0C1B"/>
    <w:rsid w:val="00EC5A15"/>
    <w:rsid w:val="00ED0B3A"/>
    <w:rsid w:val="00EF6729"/>
    <w:rsid w:val="00EF6A93"/>
    <w:rsid w:val="00F159BC"/>
    <w:rsid w:val="00F16109"/>
    <w:rsid w:val="00F3406C"/>
    <w:rsid w:val="00F341D3"/>
    <w:rsid w:val="00F55DAC"/>
    <w:rsid w:val="00F56959"/>
    <w:rsid w:val="00F65B54"/>
    <w:rsid w:val="00F843ED"/>
    <w:rsid w:val="00F84E4E"/>
    <w:rsid w:val="00F9114B"/>
    <w:rsid w:val="00F950C8"/>
    <w:rsid w:val="00FA62F0"/>
    <w:rsid w:val="00FC48EA"/>
    <w:rsid w:val="00FE2718"/>
    <w:rsid w:val="00FE62C0"/>
    <w:rsid w:val="00FF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1E6"/>
  </w:style>
  <w:style w:type="paragraph" w:styleId="Heading1">
    <w:name w:val="heading 1"/>
    <w:basedOn w:val="Normal"/>
    <w:next w:val="Normal"/>
    <w:link w:val="Heading1Char"/>
    <w:uiPriority w:val="9"/>
    <w:qFormat/>
    <w:rsid w:val="005079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6E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61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79CB"/>
    <w:pPr>
      <w:spacing w:after="0" w:line="240" w:lineRule="auto"/>
    </w:pPr>
    <w:rPr>
      <w:rFonts w:eastAsiaTheme="minorEastAsia"/>
    </w:rPr>
  </w:style>
  <w:style w:type="character" w:customStyle="1" w:styleId="NoSpacingChar">
    <w:name w:val="No Spacing Char"/>
    <w:basedOn w:val="DefaultParagraphFont"/>
    <w:link w:val="NoSpacing"/>
    <w:uiPriority w:val="1"/>
    <w:rsid w:val="005079CB"/>
    <w:rPr>
      <w:rFonts w:eastAsiaTheme="minorEastAsia"/>
    </w:rPr>
  </w:style>
  <w:style w:type="paragraph" w:styleId="BalloonText">
    <w:name w:val="Balloon Text"/>
    <w:basedOn w:val="Normal"/>
    <w:link w:val="BalloonTextChar"/>
    <w:uiPriority w:val="99"/>
    <w:semiHidden/>
    <w:unhideWhenUsed/>
    <w:rsid w:val="0050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9CB"/>
    <w:rPr>
      <w:rFonts w:ascii="Tahoma" w:hAnsi="Tahoma" w:cs="Tahoma"/>
      <w:sz w:val="16"/>
      <w:szCs w:val="16"/>
    </w:rPr>
  </w:style>
  <w:style w:type="character" w:customStyle="1" w:styleId="Heading1Char">
    <w:name w:val="Heading 1 Char"/>
    <w:basedOn w:val="DefaultParagraphFont"/>
    <w:link w:val="Heading1"/>
    <w:uiPriority w:val="9"/>
    <w:rsid w:val="005079C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079CB"/>
    <w:pPr>
      <w:outlineLvl w:val="9"/>
    </w:pPr>
  </w:style>
  <w:style w:type="paragraph" w:styleId="TOC1">
    <w:name w:val="toc 1"/>
    <w:basedOn w:val="Normal"/>
    <w:next w:val="Normal"/>
    <w:autoRedefine/>
    <w:uiPriority w:val="39"/>
    <w:unhideWhenUsed/>
    <w:qFormat/>
    <w:rsid w:val="001C1AA2"/>
    <w:pPr>
      <w:tabs>
        <w:tab w:val="left" w:pos="440"/>
        <w:tab w:val="right" w:leader="dot" w:pos="9350"/>
      </w:tabs>
      <w:spacing w:after="100"/>
    </w:pPr>
    <w:rPr>
      <w:b/>
      <w:noProof/>
    </w:rPr>
  </w:style>
  <w:style w:type="character" w:styleId="Hyperlink">
    <w:name w:val="Hyperlink"/>
    <w:basedOn w:val="DefaultParagraphFont"/>
    <w:uiPriority w:val="99"/>
    <w:unhideWhenUsed/>
    <w:rsid w:val="0002296D"/>
    <w:rPr>
      <w:color w:val="0000FF" w:themeColor="hyperlink"/>
      <w:u w:val="single"/>
    </w:rPr>
  </w:style>
  <w:style w:type="paragraph" w:customStyle="1" w:styleId="FakeHeading1">
    <w:name w:val="Fake Heading 1"/>
    <w:basedOn w:val="Normal"/>
    <w:link w:val="FakeHeading1Char"/>
    <w:qFormat/>
    <w:rsid w:val="00EC5A15"/>
    <w:pPr>
      <w:spacing w:line="360" w:lineRule="auto"/>
      <w:jc w:val="both"/>
    </w:pPr>
    <w:rPr>
      <w:rFonts w:asciiTheme="majorHAnsi" w:eastAsiaTheme="minorEastAsia" w:hAnsiTheme="majorHAnsi"/>
      <w:b/>
      <w:color w:val="365F91" w:themeColor="accent1" w:themeShade="BF"/>
      <w:sz w:val="32"/>
      <w:szCs w:val="36"/>
      <w:lang w:val="en-ZA" w:bidi="en-US"/>
    </w:rPr>
  </w:style>
  <w:style w:type="character" w:customStyle="1" w:styleId="FakeHeading1Char">
    <w:name w:val="Fake Heading 1 Char"/>
    <w:basedOn w:val="DefaultParagraphFont"/>
    <w:link w:val="FakeHeading1"/>
    <w:rsid w:val="00EC5A15"/>
    <w:rPr>
      <w:rFonts w:asciiTheme="majorHAnsi" w:eastAsiaTheme="minorEastAsia" w:hAnsiTheme="majorHAnsi"/>
      <w:b/>
      <w:color w:val="365F91" w:themeColor="accent1" w:themeShade="BF"/>
      <w:sz w:val="32"/>
      <w:szCs w:val="36"/>
      <w:lang w:val="en-ZA" w:bidi="en-US"/>
    </w:rPr>
  </w:style>
  <w:style w:type="table" w:styleId="TableGrid">
    <w:name w:val="Table Grid"/>
    <w:basedOn w:val="TableNormal"/>
    <w:uiPriority w:val="59"/>
    <w:rsid w:val="004B01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4B01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742F3"/>
    <w:pPr>
      <w:ind w:left="720"/>
      <w:contextualSpacing/>
    </w:pPr>
  </w:style>
  <w:style w:type="paragraph" w:styleId="Subtitle">
    <w:name w:val="Subtitle"/>
    <w:basedOn w:val="Normal"/>
    <w:next w:val="Normal"/>
    <w:link w:val="SubtitleChar"/>
    <w:uiPriority w:val="11"/>
    <w:qFormat/>
    <w:rsid w:val="00B56E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6E94"/>
    <w:rPr>
      <w:rFonts w:asciiTheme="majorHAnsi" w:eastAsiaTheme="majorEastAsia" w:hAnsiTheme="majorHAnsi" w:cstheme="majorBidi"/>
      <w:i/>
      <w:iCs/>
      <w:color w:val="4F81BD" w:themeColor="accent1"/>
      <w:spacing w:val="15"/>
      <w:sz w:val="24"/>
      <w:szCs w:val="24"/>
    </w:rPr>
  </w:style>
  <w:style w:type="paragraph" w:customStyle="1" w:styleId="FakeHeading10">
    <w:name w:val="Fake_Heading 1"/>
    <w:basedOn w:val="Heading1"/>
    <w:link w:val="FakeHeading1Char0"/>
    <w:qFormat/>
    <w:rsid w:val="006851E0"/>
  </w:style>
  <w:style w:type="character" w:customStyle="1" w:styleId="FakeHeading1Char0">
    <w:name w:val="Fake_Heading 1 Char"/>
    <w:basedOn w:val="Heading1Char"/>
    <w:link w:val="FakeHeading10"/>
    <w:rsid w:val="006851E0"/>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CE32DE"/>
    <w:rPr>
      <w:b/>
      <w:bCs/>
      <w:i/>
      <w:iCs/>
      <w:color w:val="4F81BD" w:themeColor="accent1"/>
    </w:rPr>
  </w:style>
  <w:style w:type="character" w:customStyle="1" w:styleId="Heading2Char">
    <w:name w:val="Heading 2 Char"/>
    <w:basedOn w:val="DefaultParagraphFont"/>
    <w:link w:val="Heading2"/>
    <w:uiPriority w:val="9"/>
    <w:rsid w:val="00A06E62"/>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A06E62"/>
    <w:rPr>
      <w:color w:val="808080"/>
    </w:rPr>
  </w:style>
  <w:style w:type="character" w:customStyle="1" w:styleId="main">
    <w:name w:val="main"/>
    <w:basedOn w:val="DefaultParagraphFont"/>
    <w:rsid w:val="003B08E3"/>
  </w:style>
  <w:style w:type="paragraph" w:customStyle="1" w:styleId="Default">
    <w:name w:val="Default"/>
    <w:rsid w:val="0052611B"/>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next w:val="Normal"/>
    <w:autoRedefine/>
    <w:uiPriority w:val="39"/>
    <w:unhideWhenUsed/>
    <w:qFormat/>
    <w:rsid w:val="00144FE7"/>
    <w:pPr>
      <w:spacing w:after="100"/>
      <w:ind w:left="220"/>
    </w:pPr>
  </w:style>
  <w:style w:type="table" w:customStyle="1" w:styleId="LightShading2">
    <w:name w:val="Light Shading2"/>
    <w:basedOn w:val="TableNormal"/>
    <w:uiPriority w:val="60"/>
    <w:rsid w:val="0070290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rsid w:val="00F843ED"/>
    <w:pPr>
      <w:spacing w:after="0" w:line="240" w:lineRule="auto"/>
      <w:jc w:val="center"/>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F843ED"/>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
    <w:rsid w:val="0008619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5E47B9"/>
    <w:pPr>
      <w:spacing w:after="100"/>
      <w:ind w:left="440"/>
    </w:pPr>
  </w:style>
  <w:style w:type="paragraph" w:styleId="Header">
    <w:name w:val="header"/>
    <w:basedOn w:val="Normal"/>
    <w:link w:val="HeaderChar"/>
    <w:uiPriority w:val="99"/>
    <w:unhideWhenUsed/>
    <w:rsid w:val="009E7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86F"/>
  </w:style>
  <w:style w:type="paragraph" w:styleId="Footer">
    <w:name w:val="footer"/>
    <w:basedOn w:val="Normal"/>
    <w:link w:val="FooterChar"/>
    <w:uiPriority w:val="99"/>
    <w:unhideWhenUsed/>
    <w:rsid w:val="009E7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86F"/>
  </w:style>
  <w:style w:type="paragraph" w:styleId="Index1">
    <w:name w:val="index 1"/>
    <w:basedOn w:val="Normal"/>
    <w:next w:val="Normal"/>
    <w:autoRedefine/>
    <w:uiPriority w:val="99"/>
    <w:unhideWhenUsed/>
    <w:rsid w:val="007824AC"/>
    <w:pPr>
      <w:spacing w:after="0"/>
      <w:ind w:left="220" w:hanging="220"/>
    </w:pPr>
    <w:rPr>
      <w:rFonts w:cstheme="minorHAnsi"/>
      <w:sz w:val="20"/>
      <w:szCs w:val="20"/>
    </w:rPr>
  </w:style>
  <w:style w:type="paragraph" w:styleId="Index2">
    <w:name w:val="index 2"/>
    <w:basedOn w:val="Normal"/>
    <w:next w:val="Normal"/>
    <w:autoRedefine/>
    <w:uiPriority w:val="99"/>
    <w:unhideWhenUsed/>
    <w:rsid w:val="007824AC"/>
    <w:pPr>
      <w:spacing w:after="0"/>
      <w:ind w:left="440" w:hanging="220"/>
    </w:pPr>
    <w:rPr>
      <w:rFonts w:cstheme="minorHAnsi"/>
      <w:sz w:val="20"/>
      <w:szCs w:val="20"/>
    </w:rPr>
  </w:style>
  <w:style w:type="paragraph" w:styleId="Index3">
    <w:name w:val="index 3"/>
    <w:basedOn w:val="Normal"/>
    <w:next w:val="Normal"/>
    <w:autoRedefine/>
    <w:uiPriority w:val="99"/>
    <w:unhideWhenUsed/>
    <w:rsid w:val="007824AC"/>
    <w:pPr>
      <w:spacing w:after="0"/>
      <w:ind w:left="660" w:hanging="220"/>
    </w:pPr>
    <w:rPr>
      <w:rFonts w:cstheme="minorHAnsi"/>
      <w:sz w:val="20"/>
      <w:szCs w:val="20"/>
    </w:rPr>
  </w:style>
  <w:style w:type="paragraph" w:styleId="Index4">
    <w:name w:val="index 4"/>
    <w:basedOn w:val="Normal"/>
    <w:next w:val="Normal"/>
    <w:autoRedefine/>
    <w:uiPriority w:val="99"/>
    <w:unhideWhenUsed/>
    <w:rsid w:val="007824AC"/>
    <w:pPr>
      <w:spacing w:after="0"/>
      <w:ind w:left="880" w:hanging="220"/>
    </w:pPr>
    <w:rPr>
      <w:rFonts w:cstheme="minorHAnsi"/>
      <w:sz w:val="20"/>
      <w:szCs w:val="20"/>
    </w:rPr>
  </w:style>
  <w:style w:type="paragraph" w:styleId="Index5">
    <w:name w:val="index 5"/>
    <w:basedOn w:val="Normal"/>
    <w:next w:val="Normal"/>
    <w:autoRedefine/>
    <w:uiPriority w:val="99"/>
    <w:unhideWhenUsed/>
    <w:rsid w:val="007824AC"/>
    <w:pPr>
      <w:spacing w:after="0"/>
      <w:ind w:left="1100" w:hanging="220"/>
    </w:pPr>
    <w:rPr>
      <w:rFonts w:cstheme="minorHAnsi"/>
      <w:sz w:val="20"/>
      <w:szCs w:val="20"/>
    </w:rPr>
  </w:style>
  <w:style w:type="paragraph" w:styleId="Index6">
    <w:name w:val="index 6"/>
    <w:basedOn w:val="Normal"/>
    <w:next w:val="Normal"/>
    <w:autoRedefine/>
    <w:uiPriority w:val="99"/>
    <w:unhideWhenUsed/>
    <w:rsid w:val="007824AC"/>
    <w:pPr>
      <w:spacing w:after="0"/>
      <w:ind w:left="1320" w:hanging="220"/>
    </w:pPr>
    <w:rPr>
      <w:rFonts w:cstheme="minorHAnsi"/>
      <w:sz w:val="20"/>
      <w:szCs w:val="20"/>
    </w:rPr>
  </w:style>
  <w:style w:type="paragraph" w:styleId="Index7">
    <w:name w:val="index 7"/>
    <w:basedOn w:val="Normal"/>
    <w:next w:val="Normal"/>
    <w:autoRedefine/>
    <w:uiPriority w:val="99"/>
    <w:unhideWhenUsed/>
    <w:rsid w:val="007824AC"/>
    <w:pPr>
      <w:spacing w:after="0"/>
      <w:ind w:left="1540" w:hanging="220"/>
    </w:pPr>
    <w:rPr>
      <w:rFonts w:cstheme="minorHAnsi"/>
      <w:sz w:val="20"/>
      <w:szCs w:val="20"/>
    </w:rPr>
  </w:style>
  <w:style w:type="paragraph" w:styleId="Index8">
    <w:name w:val="index 8"/>
    <w:basedOn w:val="Normal"/>
    <w:next w:val="Normal"/>
    <w:autoRedefine/>
    <w:uiPriority w:val="99"/>
    <w:unhideWhenUsed/>
    <w:rsid w:val="007824AC"/>
    <w:pPr>
      <w:spacing w:after="0"/>
      <w:ind w:left="1760" w:hanging="220"/>
    </w:pPr>
    <w:rPr>
      <w:rFonts w:cstheme="minorHAnsi"/>
      <w:sz w:val="20"/>
      <w:szCs w:val="20"/>
    </w:rPr>
  </w:style>
  <w:style w:type="paragraph" w:styleId="Index9">
    <w:name w:val="index 9"/>
    <w:basedOn w:val="Normal"/>
    <w:next w:val="Normal"/>
    <w:autoRedefine/>
    <w:uiPriority w:val="99"/>
    <w:unhideWhenUsed/>
    <w:rsid w:val="007824AC"/>
    <w:pPr>
      <w:spacing w:after="0"/>
      <w:ind w:left="1980" w:hanging="220"/>
    </w:pPr>
    <w:rPr>
      <w:rFonts w:cstheme="minorHAnsi"/>
      <w:sz w:val="20"/>
      <w:szCs w:val="20"/>
    </w:rPr>
  </w:style>
  <w:style w:type="paragraph" w:styleId="IndexHeading">
    <w:name w:val="index heading"/>
    <w:basedOn w:val="Normal"/>
    <w:next w:val="Index1"/>
    <w:uiPriority w:val="99"/>
    <w:unhideWhenUsed/>
    <w:rsid w:val="007824AC"/>
    <w:pPr>
      <w:spacing w:before="120" w:after="120"/>
    </w:pPr>
    <w:rPr>
      <w:rFonts w:cstheme="minorHAnsi"/>
      <w:b/>
      <w:bCs/>
      <w:i/>
      <w:iCs/>
      <w:sz w:val="20"/>
      <w:szCs w:val="20"/>
    </w:rPr>
  </w:style>
  <w:style w:type="paragraph" w:styleId="Caption">
    <w:name w:val="caption"/>
    <w:basedOn w:val="Normal"/>
    <w:next w:val="Normal"/>
    <w:uiPriority w:val="35"/>
    <w:unhideWhenUsed/>
    <w:qFormat/>
    <w:rsid w:val="00001F76"/>
    <w:pPr>
      <w:spacing w:line="240" w:lineRule="auto"/>
    </w:pPr>
    <w:rPr>
      <w:b/>
      <w:bCs/>
      <w:color w:val="4F81BD" w:themeColor="accent1"/>
      <w:sz w:val="18"/>
      <w:szCs w:val="18"/>
    </w:rPr>
  </w:style>
  <w:style w:type="paragraph" w:styleId="EndnoteText">
    <w:name w:val="endnote text"/>
    <w:basedOn w:val="Normal"/>
    <w:link w:val="EndnoteTextChar"/>
    <w:uiPriority w:val="99"/>
    <w:semiHidden/>
    <w:unhideWhenUsed/>
    <w:rsid w:val="00E03A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3A12"/>
    <w:rPr>
      <w:sz w:val="20"/>
      <w:szCs w:val="20"/>
    </w:rPr>
  </w:style>
  <w:style w:type="character" w:styleId="EndnoteReference">
    <w:name w:val="endnote reference"/>
    <w:basedOn w:val="DefaultParagraphFont"/>
    <w:uiPriority w:val="99"/>
    <w:semiHidden/>
    <w:unhideWhenUsed/>
    <w:rsid w:val="00E03A12"/>
    <w:rPr>
      <w:vertAlign w:val="superscript"/>
    </w:rPr>
  </w:style>
  <w:style w:type="paragraph" w:styleId="FootnoteText">
    <w:name w:val="footnote text"/>
    <w:basedOn w:val="Normal"/>
    <w:link w:val="FootnoteTextChar"/>
    <w:uiPriority w:val="99"/>
    <w:semiHidden/>
    <w:unhideWhenUsed/>
    <w:rsid w:val="00E03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A12"/>
    <w:rPr>
      <w:sz w:val="20"/>
      <w:szCs w:val="20"/>
    </w:rPr>
  </w:style>
  <w:style w:type="character" w:styleId="FootnoteReference">
    <w:name w:val="footnote reference"/>
    <w:basedOn w:val="DefaultParagraphFont"/>
    <w:uiPriority w:val="99"/>
    <w:semiHidden/>
    <w:unhideWhenUsed/>
    <w:rsid w:val="00E03A12"/>
    <w:rPr>
      <w:vertAlign w:val="superscript"/>
    </w:rPr>
  </w:style>
  <w:style w:type="paragraph" w:styleId="TableofFigures">
    <w:name w:val="table of figures"/>
    <w:basedOn w:val="Normal"/>
    <w:next w:val="Normal"/>
    <w:uiPriority w:val="99"/>
    <w:unhideWhenUsed/>
    <w:rsid w:val="007C5265"/>
    <w:pPr>
      <w:spacing w:after="0"/>
      <w:ind w:left="440" w:hanging="440"/>
    </w:pPr>
    <w:rPr>
      <w:rFonts w:cstheme="minorHAnsi"/>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6292">
      <w:bodyDiv w:val="1"/>
      <w:marLeft w:val="0"/>
      <w:marRight w:val="0"/>
      <w:marTop w:val="0"/>
      <w:marBottom w:val="0"/>
      <w:divBdr>
        <w:top w:val="none" w:sz="0" w:space="0" w:color="auto"/>
        <w:left w:val="none" w:sz="0" w:space="0" w:color="auto"/>
        <w:bottom w:val="none" w:sz="0" w:space="0" w:color="auto"/>
        <w:right w:val="none" w:sz="0" w:space="0" w:color="auto"/>
      </w:divBdr>
    </w:div>
    <w:div w:id="99881423">
      <w:bodyDiv w:val="1"/>
      <w:marLeft w:val="0"/>
      <w:marRight w:val="0"/>
      <w:marTop w:val="0"/>
      <w:marBottom w:val="0"/>
      <w:divBdr>
        <w:top w:val="none" w:sz="0" w:space="0" w:color="auto"/>
        <w:left w:val="none" w:sz="0" w:space="0" w:color="auto"/>
        <w:bottom w:val="none" w:sz="0" w:space="0" w:color="auto"/>
        <w:right w:val="none" w:sz="0" w:space="0" w:color="auto"/>
      </w:divBdr>
    </w:div>
    <w:div w:id="265814354">
      <w:bodyDiv w:val="1"/>
      <w:marLeft w:val="0"/>
      <w:marRight w:val="0"/>
      <w:marTop w:val="0"/>
      <w:marBottom w:val="0"/>
      <w:divBdr>
        <w:top w:val="none" w:sz="0" w:space="0" w:color="auto"/>
        <w:left w:val="none" w:sz="0" w:space="0" w:color="auto"/>
        <w:bottom w:val="none" w:sz="0" w:space="0" w:color="auto"/>
        <w:right w:val="none" w:sz="0" w:space="0" w:color="auto"/>
      </w:divBdr>
    </w:div>
    <w:div w:id="474027473">
      <w:bodyDiv w:val="1"/>
      <w:marLeft w:val="0"/>
      <w:marRight w:val="0"/>
      <w:marTop w:val="0"/>
      <w:marBottom w:val="0"/>
      <w:divBdr>
        <w:top w:val="none" w:sz="0" w:space="0" w:color="auto"/>
        <w:left w:val="none" w:sz="0" w:space="0" w:color="auto"/>
        <w:bottom w:val="none" w:sz="0" w:space="0" w:color="auto"/>
        <w:right w:val="none" w:sz="0" w:space="0" w:color="auto"/>
      </w:divBdr>
    </w:div>
    <w:div w:id="807282404">
      <w:bodyDiv w:val="1"/>
      <w:marLeft w:val="0"/>
      <w:marRight w:val="0"/>
      <w:marTop w:val="0"/>
      <w:marBottom w:val="0"/>
      <w:divBdr>
        <w:top w:val="none" w:sz="0" w:space="0" w:color="auto"/>
        <w:left w:val="none" w:sz="0" w:space="0" w:color="auto"/>
        <w:bottom w:val="none" w:sz="0" w:space="0" w:color="auto"/>
        <w:right w:val="none" w:sz="0" w:space="0" w:color="auto"/>
      </w:divBdr>
    </w:div>
    <w:div w:id="817768843">
      <w:bodyDiv w:val="1"/>
      <w:marLeft w:val="0"/>
      <w:marRight w:val="0"/>
      <w:marTop w:val="0"/>
      <w:marBottom w:val="0"/>
      <w:divBdr>
        <w:top w:val="none" w:sz="0" w:space="0" w:color="auto"/>
        <w:left w:val="none" w:sz="0" w:space="0" w:color="auto"/>
        <w:bottom w:val="none" w:sz="0" w:space="0" w:color="auto"/>
        <w:right w:val="none" w:sz="0" w:space="0" w:color="auto"/>
      </w:divBdr>
    </w:div>
    <w:div w:id="821310899">
      <w:bodyDiv w:val="1"/>
      <w:marLeft w:val="0"/>
      <w:marRight w:val="0"/>
      <w:marTop w:val="0"/>
      <w:marBottom w:val="0"/>
      <w:divBdr>
        <w:top w:val="none" w:sz="0" w:space="0" w:color="auto"/>
        <w:left w:val="none" w:sz="0" w:space="0" w:color="auto"/>
        <w:bottom w:val="none" w:sz="0" w:space="0" w:color="auto"/>
        <w:right w:val="none" w:sz="0" w:space="0" w:color="auto"/>
      </w:divBdr>
    </w:div>
    <w:div w:id="1007682292">
      <w:bodyDiv w:val="1"/>
      <w:marLeft w:val="0"/>
      <w:marRight w:val="0"/>
      <w:marTop w:val="0"/>
      <w:marBottom w:val="0"/>
      <w:divBdr>
        <w:top w:val="none" w:sz="0" w:space="0" w:color="auto"/>
        <w:left w:val="none" w:sz="0" w:space="0" w:color="auto"/>
        <w:bottom w:val="none" w:sz="0" w:space="0" w:color="auto"/>
        <w:right w:val="none" w:sz="0" w:space="0" w:color="auto"/>
      </w:divBdr>
    </w:div>
    <w:div w:id="1159005585">
      <w:bodyDiv w:val="1"/>
      <w:marLeft w:val="0"/>
      <w:marRight w:val="0"/>
      <w:marTop w:val="0"/>
      <w:marBottom w:val="0"/>
      <w:divBdr>
        <w:top w:val="none" w:sz="0" w:space="0" w:color="auto"/>
        <w:left w:val="none" w:sz="0" w:space="0" w:color="auto"/>
        <w:bottom w:val="none" w:sz="0" w:space="0" w:color="auto"/>
        <w:right w:val="none" w:sz="0" w:space="0" w:color="auto"/>
      </w:divBdr>
    </w:div>
    <w:div w:id="1667900748">
      <w:bodyDiv w:val="1"/>
      <w:marLeft w:val="0"/>
      <w:marRight w:val="0"/>
      <w:marTop w:val="0"/>
      <w:marBottom w:val="0"/>
      <w:divBdr>
        <w:top w:val="none" w:sz="0" w:space="0" w:color="auto"/>
        <w:left w:val="none" w:sz="0" w:space="0" w:color="auto"/>
        <w:bottom w:val="none" w:sz="0" w:space="0" w:color="auto"/>
        <w:right w:val="none" w:sz="0" w:space="0" w:color="auto"/>
      </w:divBdr>
    </w:div>
    <w:div w:id="1768647953">
      <w:bodyDiv w:val="1"/>
      <w:marLeft w:val="0"/>
      <w:marRight w:val="0"/>
      <w:marTop w:val="0"/>
      <w:marBottom w:val="0"/>
      <w:divBdr>
        <w:top w:val="none" w:sz="0" w:space="0" w:color="auto"/>
        <w:left w:val="none" w:sz="0" w:space="0" w:color="auto"/>
        <w:bottom w:val="none" w:sz="0" w:space="0" w:color="auto"/>
        <w:right w:val="none" w:sz="0" w:space="0" w:color="auto"/>
      </w:divBdr>
    </w:div>
    <w:div w:id="1770081283">
      <w:bodyDiv w:val="1"/>
      <w:marLeft w:val="0"/>
      <w:marRight w:val="0"/>
      <w:marTop w:val="0"/>
      <w:marBottom w:val="0"/>
      <w:divBdr>
        <w:top w:val="none" w:sz="0" w:space="0" w:color="auto"/>
        <w:left w:val="none" w:sz="0" w:space="0" w:color="auto"/>
        <w:bottom w:val="none" w:sz="0" w:space="0" w:color="auto"/>
        <w:right w:val="none" w:sz="0" w:space="0" w:color="auto"/>
      </w:divBdr>
    </w:div>
    <w:div w:id="1894584094">
      <w:bodyDiv w:val="1"/>
      <w:marLeft w:val="43"/>
      <w:marRight w:val="43"/>
      <w:marTop w:val="43"/>
      <w:marBottom w:val="11"/>
      <w:divBdr>
        <w:top w:val="none" w:sz="0" w:space="0" w:color="auto"/>
        <w:left w:val="none" w:sz="0" w:space="0" w:color="auto"/>
        <w:bottom w:val="none" w:sz="0" w:space="0" w:color="auto"/>
        <w:right w:val="none" w:sz="0" w:space="0" w:color="auto"/>
      </w:divBdr>
    </w:div>
    <w:div w:id="194048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chart" Target="charts/chart9.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chart" Target="charts/chart12.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5.xml"/><Relationship Id="rId10" Type="http://schemas.openxmlformats.org/officeDocument/2006/relationships/hyperlink" Target="mailto:koningf@ufs.ac.za" TargetMode="External"/><Relationship Id="rId19" Type="http://schemas.openxmlformats.org/officeDocument/2006/relationships/chart" Target="charts/chart7.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4.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nz\Desktop\Dissertation\Frans\Mortality%20changes%20Fran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inz\Desktop\Dissertation\Frans\Mortality%20changes%20Frans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inz\Desktop\Dissertation\Frans\Mortality%20changes%20Fran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inz\Desktop\Dissertation\Frans\Mortality%20changes%20Fran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inz\Desktop\Dissertation\Frans\Mortality%20changes%20Fran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inz\Desktop\Dissertation\Frans\Mortality%20changes%20Fran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inz\Desktop\Dissertation\Frans\Mortality%20changes%20Fran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Linz\Desktop\Dissertation\Frans\Mortality%20changes%20Fra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nz\Desktop\Dissertation\Frans\Mortality%20changes%20Fra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nz\Desktop\Dissertation\Frans\Mortality%20changes%20Frans%20-%20up%20hedge%201per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inz\Desktop\Dissertation\Frans\Mortality%20changes%20Frans%20-%20up%20hedge%201per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inz\Desktop\Dissertation\Frans\Mortality%20changes%20Frans%20-%20up%20hedge%201perc.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inz\Desktop\Dissertation\Frans\Mortality%20changes%20Frans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inz\Desktop\Dissertation\Frans\Mortality%20changes%20Frans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inz\Desktop\Dissertation\NewSmoothGraph.xlsm"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inz\Desktop\Dissertation\Frans\Mortality%20changes%20Fran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PV of a Whole Life assurance for different</a:t>
            </a:r>
            <a:r>
              <a:rPr lang="en-US" baseline="0"/>
              <a:t> longevity improvements for a life aged 25</a:t>
            </a:r>
            <a:endParaRPr lang="en-US"/>
          </a:p>
        </c:rich>
      </c:tx>
      <c:overlay val="0"/>
    </c:title>
    <c:autoTitleDeleted val="0"/>
    <c:plotArea>
      <c:layout/>
      <c:lineChart>
        <c:grouping val="standard"/>
        <c:varyColors val="0"/>
        <c:ser>
          <c:idx val="0"/>
          <c:order val="0"/>
          <c:tx>
            <c:strRef>
              <c:f>'AM80'!$C$128</c:f>
              <c:strCache>
                <c:ptCount val="1"/>
                <c:pt idx="0">
                  <c:v>PV</c:v>
                </c:pt>
              </c:strCache>
            </c:strRef>
          </c:tx>
          <c:marker>
            <c:symbol val="none"/>
          </c:marker>
          <c:cat>
            <c:strRef>
              <c:f>'AM80'!$B$129:$B$137</c:f>
              <c:strCache>
                <c:ptCount val="9"/>
                <c:pt idx="0">
                  <c:v>Original</c:v>
                </c:pt>
                <c:pt idx="1">
                  <c:v>0.50%</c:v>
                </c:pt>
                <c:pt idx="2">
                  <c:v>1.00%</c:v>
                </c:pt>
                <c:pt idx="3">
                  <c:v>1.50%</c:v>
                </c:pt>
                <c:pt idx="4">
                  <c:v>2.00%</c:v>
                </c:pt>
                <c:pt idx="5">
                  <c:v>2.50%</c:v>
                </c:pt>
                <c:pt idx="6">
                  <c:v>3.00%</c:v>
                </c:pt>
                <c:pt idx="7">
                  <c:v>3.50%</c:v>
                </c:pt>
                <c:pt idx="8">
                  <c:v>4.00%</c:v>
                </c:pt>
              </c:strCache>
            </c:strRef>
          </c:cat>
          <c:val>
            <c:numRef>
              <c:f>'AM80'!$C$129:$C$137</c:f>
              <c:numCache>
                <c:formatCode>0.000000</c:formatCode>
                <c:ptCount val="9"/>
                <c:pt idx="0">
                  <c:v>7.2480955209090037E-2</c:v>
                </c:pt>
                <c:pt idx="1">
                  <c:v>6.618569946554706E-2</c:v>
                </c:pt>
                <c:pt idx="2">
                  <c:v>5.9951678387651107E-2</c:v>
                </c:pt>
                <c:pt idx="3">
                  <c:v>5.3795745413951213E-2</c:v>
                </c:pt>
                <c:pt idx="4">
                  <c:v>4.7719939646166103E-2</c:v>
                </c:pt>
                <c:pt idx="5">
                  <c:v>4.1745089380565675E-2</c:v>
                </c:pt>
                <c:pt idx="6">
                  <c:v>3.5987837631001281E-2</c:v>
                </c:pt>
                <c:pt idx="7">
                  <c:v>3.0644607139005211E-2</c:v>
                </c:pt>
                <c:pt idx="8">
                  <c:v>2.5891943066742754E-2</c:v>
                </c:pt>
              </c:numCache>
            </c:numRef>
          </c:val>
          <c:smooth val="0"/>
        </c:ser>
        <c:dLbls>
          <c:showLegendKey val="0"/>
          <c:showVal val="0"/>
          <c:showCatName val="0"/>
          <c:showSerName val="0"/>
          <c:showPercent val="0"/>
          <c:showBubbleSize val="0"/>
        </c:dLbls>
        <c:marker val="1"/>
        <c:smooth val="0"/>
        <c:axId val="232055168"/>
        <c:axId val="232057088"/>
      </c:lineChart>
      <c:catAx>
        <c:axId val="232055168"/>
        <c:scaling>
          <c:orientation val="minMax"/>
        </c:scaling>
        <c:delete val="0"/>
        <c:axPos val="b"/>
        <c:title>
          <c:tx>
            <c:rich>
              <a:bodyPr/>
              <a:lstStyle/>
              <a:p>
                <a:pPr>
                  <a:defRPr/>
                </a:pPr>
                <a:r>
                  <a:rPr lang="en-US"/>
                  <a:t>Improvements</a:t>
                </a:r>
                <a:r>
                  <a:rPr lang="en-US" baseline="0"/>
                  <a:t> in Longevity</a:t>
                </a:r>
                <a:endParaRPr lang="en-US"/>
              </a:p>
            </c:rich>
          </c:tx>
          <c:overlay val="0"/>
        </c:title>
        <c:numFmt formatCode="0.00%" sourceLinked="1"/>
        <c:majorTickMark val="out"/>
        <c:minorTickMark val="none"/>
        <c:tickLblPos val="low"/>
        <c:txPr>
          <a:bodyPr rot="0" vert="horz"/>
          <a:lstStyle/>
          <a:p>
            <a:pPr>
              <a:defRPr/>
            </a:pPr>
            <a:endParaRPr lang="en-US"/>
          </a:p>
        </c:txPr>
        <c:crossAx val="232057088"/>
        <c:crosses val="autoZero"/>
        <c:auto val="1"/>
        <c:lblAlgn val="ctr"/>
        <c:lblOffset val="100"/>
        <c:noMultiLvlLbl val="0"/>
      </c:catAx>
      <c:valAx>
        <c:axId val="232057088"/>
        <c:scaling>
          <c:orientation val="minMax"/>
        </c:scaling>
        <c:delete val="0"/>
        <c:axPos val="l"/>
        <c:majorGridlines/>
        <c:title>
          <c:tx>
            <c:rich>
              <a:bodyPr rot="-5400000" vert="horz"/>
              <a:lstStyle/>
              <a:p>
                <a:pPr>
                  <a:defRPr/>
                </a:pPr>
                <a:r>
                  <a:rPr lang="en-US"/>
                  <a:t>PV</a:t>
                </a:r>
              </a:p>
            </c:rich>
          </c:tx>
          <c:overlay val="0"/>
        </c:title>
        <c:numFmt formatCode="0.00" sourceLinked="0"/>
        <c:majorTickMark val="out"/>
        <c:minorTickMark val="none"/>
        <c:tickLblPos val="nextTo"/>
        <c:crossAx val="23205516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ZA"/>
            </a:pPr>
            <a:r>
              <a:rPr lang="en-ZA" sz="1800" b="1" i="0" baseline="0"/>
              <a:t>Cash-flows resulting from the hedges for different longevity improvements used for pricing</a:t>
            </a:r>
            <a:endParaRPr lang="en-ZA"/>
          </a:p>
        </c:rich>
      </c:tx>
      <c:overlay val="0"/>
    </c:title>
    <c:autoTitleDeleted val="0"/>
    <c:plotArea>
      <c:layout/>
      <c:lineChart>
        <c:grouping val="standard"/>
        <c:varyColors val="0"/>
        <c:ser>
          <c:idx val="0"/>
          <c:order val="0"/>
          <c:tx>
            <c:strRef>
              <c:f>'AM80'!$B$684</c:f>
              <c:strCache>
                <c:ptCount val="1"/>
                <c:pt idx="0">
                  <c:v>0.0%</c:v>
                </c:pt>
              </c:strCache>
            </c:strRef>
          </c:tx>
          <c:marker>
            <c:symbol val="none"/>
          </c:marker>
          <c:cat>
            <c:numRef>
              <c:f>'AM80'!$C$683:$I$683</c:f>
              <c:numCache>
                <c:formatCode>0.0%</c:formatCode>
                <c:ptCount val="7"/>
                <c:pt idx="0">
                  <c:v>0</c:v>
                </c:pt>
                <c:pt idx="1">
                  <c:v>5.0000000000000114E-3</c:v>
                </c:pt>
                <c:pt idx="2">
                  <c:v>1.0000000000000005E-2</c:v>
                </c:pt>
                <c:pt idx="3">
                  <c:v>1.4999999999999998E-2</c:v>
                </c:pt>
                <c:pt idx="4">
                  <c:v>2.0000000000000011E-2</c:v>
                </c:pt>
                <c:pt idx="5">
                  <c:v>2.5000000000000001E-2</c:v>
                </c:pt>
                <c:pt idx="6">
                  <c:v>3.0000000000000002E-2</c:v>
                </c:pt>
              </c:numCache>
            </c:numRef>
          </c:cat>
          <c:val>
            <c:numRef>
              <c:f>'AM80'!$C$684:$I$684</c:f>
              <c:numCache>
                <c:formatCode>0.0000</c:formatCode>
                <c:ptCount val="7"/>
                <c:pt idx="0">
                  <c:v>0</c:v>
                </c:pt>
                <c:pt idx="1">
                  <c:v>94645.351697445425</c:v>
                </c:pt>
                <c:pt idx="2">
                  <c:v>125380.81947696209</c:v>
                </c:pt>
                <c:pt idx="3">
                  <c:v>93429.224938154221</c:v>
                </c:pt>
                <c:pt idx="4">
                  <c:v>-1.6689300537109527E-6</c:v>
                </c:pt>
                <c:pt idx="5">
                  <c:v>-153710.73513138379</c:v>
                </c:pt>
                <c:pt idx="6">
                  <c:v>-366520.09406530857</c:v>
                </c:pt>
              </c:numCache>
            </c:numRef>
          </c:val>
          <c:smooth val="0"/>
        </c:ser>
        <c:ser>
          <c:idx val="1"/>
          <c:order val="1"/>
          <c:tx>
            <c:strRef>
              <c:f>'AM80'!$B$685</c:f>
              <c:strCache>
                <c:ptCount val="1"/>
                <c:pt idx="0">
                  <c:v>0.5%</c:v>
                </c:pt>
              </c:strCache>
            </c:strRef>
          </c:tx>
          <c:marker>
            <c:symbol val="none"/>
          </c:marker>
          <c:cat>
            <c:numRef>
              <c:f>'AM80'!$C$683:$I$683</c:f>
              <c:numCache>
                <c:formatCode>0.0%</c:formatCode>
                <c:ptCount val="7"/>
                <c:pt idx="0">
                  <c:v>0</c:v>
                </c:pt>
                <c:pt idx="1">
                  <c:v>5.0000000000000114E-3</c:v>
                </c:pt>
                <c:pt idx="2">
                  <c:v>1.0000000000000005E-2</c:v>
                </c:pt>
                <c:pt idx="3">
                  <c:v>1.4999999999999998E-2</c:v>
                </c:pt>
                <c:pt idx="4">
                  <c:v>2.0000000000000011E-2</c:v>
                </c:pt>
                <c:pt idx="5">
                  <c:v>2.5000000000000001E-2</c:v>
                </c:pt>
                <c:pt idx="6">
                  <c:v>3.0000000000000002E-2</c:v>
                </c:pt>
              </c:numCache>
            </c:numRef>
          </c:cat>
          <c:val>
            <c:numRef>
              <c:f>'AM80'!$C$685:$I$685</c:f>
              <c:numCache>
                <c:formatCode>0.0000</c:formatCode>
                <c:ptCount val="7"/>
                <c:pt idx="0">
                  <c:v>-127015.19239127597</c:v>
                </c:pt>
                <c:pt idx="1">
                  <c:v>0</c:v>
                </c:pt>
                <c:pt idx="2">
                  <c:v>62691.592826128013</c:v>
                </c:pt>
                <c:pt idx="3">
                  <c:v>62286.94741332531</c:v>
                </c:pt>
                <c:pt idx="4">
                  <c:v>-1.1920928955078265E-6</c:v>
                </c:pt>
                <c:pt idx="5">
                  <c:v>-122968.66015899241</c:v>
                </c:pt>
                <c:pt idx="6">
                  <c:v>-305431.71276760084</c:v>
                </c:pt>
              </c:numCache>
            </c:numRef>
          </c:val>
          <c:smooth val="0"/>
        </c:ser>
        <c:ser>
          <c:idx val="2"/>
          <c:order val="2"/>
          <c:tx>
            <c:strRef>
              <c:f>'AM80'!$B$686</c:f>
              <c:strCache>
                <c:ptCount val="1"/>
                <c:pt idx="0">
                  <c:v>1.0%</c:v>
                </c:pt>
              </c:strCache>
            </c:strRef>
          </c:tx>
          <c:marker>
            <c:symbol val="none"/>
          </c:marker>
          <c:cat>
            <c:numRef>
              <c:f>'AM80'!$C$683:$I$683</c:f>
              <c:numCache>
                <c:formatCode>0.0%</c:formatCode>
                <c:ptCount val="7"/>
                <c:pt idx="0">
                  <c:v>0</c:v>
                </c:pt>
                <c:pt idx="1">
                  <c:v>5.0000000000000114E-3</c:v>
                </c:pt>
                <c:pt idx="2">
                  <c:v>1.0000000000000005E-2</c:v>
                </c:pt>
                <c:pt idx="3">
                  <c:v>1.4999999999999998E-2</c:v>
                </c:pt>
                <c:pt idx="4">
                  <c:v>2.0000000000000011E-2</c:v>
                </c:pt>
                <c:pt idx="5">
                  <c:v>2.5000000000000001E-2</c:v>
                </c:pt>
                <c:pt idx="6">
                  <c:v>3.0000000000000002E-2</c:v>
                </c:pt>
              </c:numCache>
            </c:numRef>
          </c:cat>
          <c:val>
            <c:numRef>
              <c:f>'AM80'!$C$686:$I$686</c:f>
              <c:numCache>
                <c:formatCode>0.0000</c:formatCode>
                <c:ptCount val="7"/>
                <c:pt idx="0">
                  <c:v>-254035.17891204348</c:v>
                </c:pt>
                <c:pt idx="1">
                  <c:v>-94648.924042344093</c:v>
                </c:pt>
                <c:pt idx="2">
                  <c:v>0</c:v>
                </c:pt>
                <c:pt idx="3">
                  <c:v>31143.494438290621</c:v>
                </c:pt>
                <c:pt idx="4">
                  <c:v>1.1920928955078289E-7</c:v>
                </c:pt>
                <c:pt idx="5">
                  <c:v>-92225.424840211868</c:v>
                </c:pt>
                <c:pt idx="6">
                  <c:v>-244341.02571606598</c:v>
                </c:pt>
              </c:numCache>
            </c:numRef>
          </c:val>
          <c:smooth val="0"/>
        </c:ser>
        <c:ser>
          <c:idx val="3"/>
          <c:order val="3"/>
          <c:tx>
            <c:strRef>
              <c:f>'AM80'!$B$687</c:f>
              <c:strCache>
                <c:ptCount val="1"/>
                <c:pt idx="0">
                  <c:v>1.5%</c:v>
                </c:pt>
              </c:strCache>
            </c:strRef>
          </c:tx>
          <c:marker>
            <c:symbol val="none"/>
          </c:marker>
          <c:cat>
            <c:numRef>
              <c:f>'AM80'!$C$683:$I$683</c:f>
              <c:numCache>
                <c:formatCode>0.0%</c:formatCode>
                <c:ptCount val="7"/>
                <c:pt idx="0">
                  <c:v>0</c:v>
                </c:pt>
                <c:pt idx="1">
                  <c:v>5.0000000000000114E-3</c:v>
                </c:pt>
                <c:pt idx="2">
                  <c:v>1.0000000000000005E-2</c:v>
                </c:pt>
                <c:pt idx="3">
                  <c:v>1.4999999999999998E-2</c:v>
                </c:pt>
                <c:pt idx="4">
                  <c:v>2.0000000000000011E-2</c:v>
                </c:pt>
                <c:pt idx="5">
                  <c:v>2.5000000000000001E-2</c:v>
                </c:pt>
                <c:pt idx="6">
                  <c:v>3.0000000000000002E-2</c:v>
                </c:pt>
              </c:numCache>
            </c:numRef>
          </c:cat>
          <c:val>
            <c:numRef>
              <c:f>'AM80'!$C$687:$I$687</c:f>
              <c:numCache>
                <c:formatCode>0.0000</c:formatCode>
                <c:ptCount val="7"/>
                <c:pt idx="0">
                  <c:v>-381055.33453726768</c:v>
                </c:pt>
                <c:pt idx="1">
                  <c:v>-189297.97409319773</c:v>
                </c:pt>
                <c:pt idx="2">
                  <c:v>-62691.67628967762</c:v>
                </c:pt>
                <c:pt idx="3">
                  <c:v>0</c:v>
                </c:pt>
                <c:pt idx="4">
                  <c:v>-2.3841857910156562E-7</c:v>
                </c:pt>
                <c:pt idx="5">
                  <c:v>-61482.148594499056</c:v>
                </c:pt>
                <c:pt idx="6">
                  <c:v>-183250.25733566398</c:v>
                </c:pt>
              </c:numCache>
            </c:numRef>
          </c:val>
          <c:smooth val="0"/>
        </c:ser>
        <c:dLbls>
          <c:showLegendKey val="0"/>
          <c:showVal val="0"/>
          <c:showCatName val="0"/>
          <c:showSerName val="0"/>
          <c:showPercent val="0"/>
          <c:showBubbleSize val="0"/>
        </c:dLbls>
        <c:marker val="1"/>
        <c:smooth val="0"/>
        <c:axId val="299702528"/>
        <c:axId val="299712896"/>
      </c:lineChart>
      <c:catAx>
        <c:axId val="299702528"/>
        <c:scaling>
          <c:orientation val="minMax"/>
        </c:scaling>
        <c:delete val="0"/>
        <c:axPos val="b"/>
        <c:title>
          <c:tx>
            <c:rich>
              <a:bodyPr/>
              <a:lstStyle/>
              <a:p>
                <a:pPr>
                  <a:defRPr lang="en-ZA"/>
                </a:pPr>
                <a:r>
                  <a:rPr lang="en-ZA"/>
                  <a:t>Increases</a:t>
                </a:r>
                <a:r>
                  <a:rPr lang="en-ZA" baseline="0"/>
                  <a:t> in Longevity</a:t>
                </a:r>
                <a:endParaRPr lang="en-ZA"/>
              </a:p>
            </c:rich>
          </c:tx>
          <c:overlay val="0"/>
        </c:title>
        <c:numFmt formatCode="0.0%" sourceLinked="1"/>
        <c:majorTickMark val="out"/>
        <c:minorTickMark val="none"/>
        <c:tickLblPos val="nextTo"/>
        <c:txPr>
          <a:bodyPr/>
          <a:lstStyle/>
          <a:p>
            <a:pPr>
              <a:defRPr lang="en-ZA"/>
            </a:pPr>
            <a:endParaRPr lang="en-US"/>
          </a:p>
        </c:txPr>
        <c:crossAx val="299712896"/>
        <c:crosses val="autoZero"/>
        <c:auto val="1"/>
        <c:lblAlgn val="ctr"/>
        <c:lblOffset val="100"/>
        <c:noMultiLvlLbl val="0"/>
      </c:catAx>
      <c:valAx>
        <c:axId val="299712896"/>
        <c:scaling>
          <c:orientation val="minMax"/>
        </c:scaling>
        <c:delete val="0"/>
        <c:axPos val="l"/>
        <c:majorGridlines/>
        <c:title>
          <c:tx>
            <c:rich>
              <a:bodyPr rot="-5400000" vert="horz"/>
              <a:lstStyle/>
              <a:p>
                <a:pPr>
                  <a:defRPr lang="en-ZA"/>
                </a:pPr>
                <a:r>
                  <a:rPr lang="en-ZA"/>
                  <a:t>Cashflows</a:t>
                </a:r>
              </a:p>
            </c:rich>
          </c:tx>
          <c:overlay val="0"/>
        </c:title>
        <c:numFmt formatCode="0" sourceLinked="0"/>
        <c:majorTickMark val="out"/>
        <c:minorTickMark val="none"/>
        <c:tickLblPos val="nextTo"/>
        <c:txPr>
          <a:bodyPr/>
          <a:lstStyle/>
          <a:p>
            <a:pPr>
              <a:defRPr lang="en-ZA"/>
            </a:pPr>
            <a:endParaRPr lang="en-US"/>
          </a:p>
        </c:txPr>
        <c:crossAx val="299702528"/>
        <c:crosses val="autoZero"/>
        <c:crossBetween val="between"/>
      </c:valAx>
    </c:plotArea>
    <c:legend>
      <c:legendPos val="r"/>
      <c:overlay val="0"/>
      <c:txPr>
        <a:bodyPr/>
        <a:lstStyle/>
        <a:p>
          <a:pPr>
            <a:defRPr lang="en-ZA"/>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Assurances</a:t>
            </a:r>
            <a:r>
              <a:rPr lang="en-US" baseline="0"/>
              <a:t> needed </a:t>
            </a:r>
            <a:r>
              <a:rPr lang="en-US"/>
              <a:t>per R1  of annuity</a:t>
            </a:r>
            <a:r>
              <a:rPr lang="en-US" baseline="0"/>
              <a:t> </a:t>
            </a:r>
            <a:r>
              <a:rPr lang="en-US"/>
              <a:t>for different rates</a:t>
            </a:r>
            <a:r>
              <a:rPr lang="en-US" baseline="0"/>
              <a:t> of interest</a:t>
            </a:r>
            <a:endParaRPr lang="en-US"/>
          </a:p>
        </c:rich>
      </c:tx>
      <c:layout>
        <c:manualLayout>
          <c:xMode val="edge"/>
          <c:yMode val="edge"/>
          <c:x val="0.12989410420426131"/>
          <c:y val="3.2407407407407406E-2"/>
        </c:manualLayout>
      </c:layout>
      <c:overlay val="0"/>
    </c:title>
    <c:autoTitleDeleted val="0"/>
    <c:plotArea>
      <c:layout/>
      <c:lineChart>
        <c:grouping val="standard"/>
        <c:varyColors val="0"/>
        <c:ser>
          <c:idx val="1"/>
          <c:order val="0"/>
          <c:tx>
            <c:strRef>
              <c:f>'AM80'!$M$128</c:f>
              <c:strCache>
                <c:ptCount val="1"/>
                <c:pt idx="0">
                  <c:v>Ass. per 1 ann.</c:v>
                </c:pt>
              </c:strCache>
            </c:strRef>
          </c:tx>
          <c:marker>
            <c:symbol val="none"/>
          </c:marker>
          <c:cat>
            <c:numRef>
              <c:f>'AM80'!$L$129:$L$143</c:f>
              <c:numCache>
                <c:formatCode>0.0%</c:formatCode>
                <c:ptCount val="15"/>
                <c:pt idx="0">
                  <c:v>2.0000000000000011E-2</c:v>
                </c:pt>
                <c:pt idx="1">
                  <c:v>2.5000000000000001E-2</c:v>
                </c:pt>
                <c:pt idx="2">
                  <c:v>3.0000000000000002E-2</c:v>
                </c:pt>
                <c:pt idx="3">
                  <c:v>3.500000000000001E-2</c:v>
                </c:pt>
                <c:pt idx="4">
                  <c:v>4.0000000000000022E-2</c:v>
                </c:pt>
                <c:pt idx="5">
                  <c:v>4.5000000000000012E-2</c:v>
                </c:pt>
                <c:pt idx="6">
                  <c:v>0.05</c:v>
                </c:pt>
                <c:pt idx="7">
                  <c:v>5.5000000000000014E-2</c:v>
                </c:pt>
                <c:pt idx="8">
                  <c:v>6.0000000000000026E-2</c:v>
                </c:pt>
                <c:pt idx="9">
                  <c:v>6.5000000000000002E-2</c:v>
                </c:pt>
                <c:pt idx="10">
                  <c:v>7.0000000000000021E-2</c:v>
                </c:pt>
                <c:pt idx="11">
                  <c:v>7.5000000000000011E-2</c:v>
                </c:pt>
                <c:pt idx="12">
                  <c:v>8.0000000000000043E-2</c:v>
                </c:pt>
                <c:pt idx="13">
                  <c:v>8.5000000000000006E-2</c:v>
                </c:pt>
                <c:pt idx="14">
                  <c:v>9.0000000000000024E-2</c:v>
                </c:pt>
              </c:numCache>
            </c:numRef>
          </c:cat>
          <c:val>
            <c:numRef>
              <c:f>'AM80'!$M$129:$M$143</c:f>
              <c:numCache>
                <c:formatCode>General</c:formatCode>
                <c:ptCount val="15"/>
                <c:pt idx="0">
                  <c:v>20.696517426927088</c:v>
                </c:pt>
                <c:pt idx="1">
                  <c:v>19.5844726712747</c:v>
                </c:pt>
                <c:pt idx="2">
                  <c:v>19.247337796332282</c:v>
                </c:pt>
                <c:pt idx="3">
                  <c:v>19.398589765067086</c:v>
                </c:pt>
                <c:pt idx="4">
                  <c:v>19.898235914723745</c:v>
                </c:pt>
                <c:pt idx="5">
                  <c:v>20.67136166202248</c:v>
                </c:pt>
                <c:pt idx="6">
                  <c:v>21.675455672798346</c:v>
                </c:pt>
                <c:pt idx="7">
                  <c:v>22.885475406039852</c:v>
                </c:pt>
                <c:pt idx="8">
                  <c:v>24.286301276056502</c:v>
                </c:pt>
                <c:pt idx="9">
                  <c:v>25.868597592821093</c:v>
                </c:pt>
                <c:pt idx="10">
                  <c:v>27.626375201238293</c:v>
                </c:pt>
                <c:pt idx="11">
                  <c:v>29.555462344313277</c:v>
                </c:pt>
                <c:pt idx="12">
                  <c:v>31.652489673346128</c:v>
                </c:pt>
                <c:pt idx="13">
                  <c:v>33.914183653602542</c:v>
                </c:pt>
                <c:pt idx="14">
                  <c:v>36.336856972293134</c:v>
                </c:pt>
              </c:numCache>
            </c:numRef>
          </c:val>
          <c:smooth val="0"/>
        </c:ser>
        <c:dLbls>
          <c:showLegendKey val="0"/>
          <c:showVal val="0"/>
          <c:showCatName val="0"/>
          <c:showSerName val="0"/>
          <c:showPercent val="0"/>
          <c:showBubbleSize val="0"/>
        </c:dLbls>
        <c:marker val="1"/>
        <c:smooth val="0"/>
        <c:axId val="299725568"/>
        <c:axId val="299727488"/>
      </c:lineChart>
      <c:catAx>
        <c:axId val="299725568"/>
        <c:scaling>
          <c:orientation val="minMax"/>
        </c:scaling>
        <c:delete val="0"/>
        <c:axPos val="b"/>
        <c:title>
          <c:tx>
            <c:rich>
              <a:bodyPr/>
              <a:lstStyle/>
              <a:p>
                <a:pPr>
                  <a:defRPr/>
                </a:pPr>
                <a:r>
                  <a:rPr lang="en-US"/>
                  <a:t>Interest rate</a:t>
                </a:r>
              </a:p>
            </c:rich>
          </c:tx>
          <c:overlay val="0"/>
        </c:title>
        <c:numFmt formatCode="0.0%" sourceLinked="1"/>
        <c:majorTickMark val="out"/>
        <c:minorTickMark val="none"/>
        <c:tickLblPos val="nextTo"/>
        <c:crossAx val="299727488"/>
        <c:crosses val="autoZero"/>
        <c:auto val="1"/>
        <c:lblAlgn val="ctr"/>
        <c:lblOffset val="100"/>
        <c:noMultiLvlLbl val="0"/>
      </c:catAx>
      <c:valAx>
        <c:axId val="299727488"/>
        <c:scaling>
          <c:orientation val="minMax"/>
        </c:scaling>
        <c:delete val="0"/>
        <c:axPos val="l"/>
        <c:majorGridlines/>
        <c:title>
          <c:tx>
            <c:rich>
              <a:bodyPr rot="-5400000" vert="horz"/>
              <a:lstStyle/>
              <a:p>
                <a:pPr>
                  <a:defRPr/>
                </a:pPr>
                <a:r>
                  <a:rPr lang="en-US"/>
                  <a:t>LHR</a:t>
                </a:r>
              </a:p>
            </c:rich>
          </c:tx>
          <c:overlay val="0"/>
        </c:title>
        <c:numFmt formatCode="General" sourceLinked="1"/>
        <c:majorTickMark val="out"/>
        <c:minorTickMark val="none"/>
        <c:tickLblPos val="nextTo"/>
        <c:crossAx val="29972556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Assurances of a life aged 25 </a:t>
            </a:r>
            <a:r>
              <a:rPr lang="en-US" sz="1800" b="1" i="0" u="none" strike="noStrike" baseline="0"/>
              <a:t>required </a:t>
            </a:r>
            <a:r>
              <a:rPr lang="en-US" baseline="0"/>
              <a:t>for hedging R1 of annuity </a:t>
            </a:r>
            <a:r>
              <a:rPr lang="en-US" sz="1800" b="1" i="0" u="none" strike="noStrike" baseline="0"/>
              <a:t>at each age</a:t>
            </a:r>
            <a:endParaRPr lang="en-US"/>
          </a:p>
        </c:rich>
      </c:tx>
      <c:overlay val="0"/>
    </c:title>
    <c:autoTitleDeleted val="0"/>
    <c:plotArea>
      <c:layout/>
      <c:lineChart>
        <c:grouping val="standard"/>
        <c:varyColors val="0"/>
        <c:ser>
          <c:idx val="0"/>
          <c:order val="0"/>
          <c:tx>
            <c:v>Annuities</c:v>
          </c:tx>
          <c:marker>
            <c:symbol val="none"/>
          </c:marker>
          <c:cat>
            <c:numRef>
              <c:f>'Hedging Table'!$A$5:$A$60</c:f>
              <c:numCache>
                <c:formatCode>General</c:formatCode>
                <c:ptCount val="56"/>
                <c:pt idx="0">
                  <c:v>55</c:v>
                </c:pt>
                <c:pt idx="1">
                  <c:v>56</c:v>
                </c:pt>
                <c:pt idx="2">
                  <c:v>57</c:v>
                </c:pt>
                <c:pt idx="3">
                  <c:v>58</c:v>
                </c:pt>
                <c:pt idx="4">
                  <c:v>59</c:v>
                </c:pt>
                <c:pt idx="5">
                  <c:v>60</c:v>
                </c:pt>
                <c:pt idx="6">
                  <c:v>61</c:v>
                </c:pt>
                <c:pt idx="7">
                  <c:v>62</c:v>
                </c:pt>
                <c:pt idx="8">
                  <c:v>63</c:v>
                </c:pt>
                <c:pt idx="9">
                  <c:v>64</c:v>
                </c:pt>
                <c:pt idx="10">
                  <c:v>65</c:v>
                </c:pt>
                <c:pt idx="11">
                  <c:v>66</c:v>
                </c:pt>
                <c:pt idx="12">
                  <c:v>67</c:v>
                </c:pt>
                <c:pt idx="13">
                  <c:v>68</c:v>
                </c:pt>
                <c:pt idx="14">
                  <c:v>69</c:v>
                </c:pt>
                <c:pt idx="15">
                  <c:v>70</c:v>
                </c:pt>
                <c:pt idx="16">
                  <c:v>71</c:v>
                </c:pt>
                <c:pt idx="17">
                  <c:v>72</c:v>
                </c:pt>
                <c:pt idx="18">
                  <c:v>73</c:v>
                </c:pt>
                <c:pt idx="19">
                  <c:v>74</c:v>
                </c:pt>
                <c:pt idx="20">
                  <c:v>75</c:v>
                </c:pt>
                <c:pt idx="21">
                  <c:v>76</c:v>
                </c:pt>
                <c:pt idx="22">
                  <c:v>77</c:v>
                </c:pt>
                <c:pt idx="23">
                  <c:v>78</c:v>
                </c:pt>
                <c:pt idx="24">
                  <c:v>79</c:v>
                </c:pt>
                <c:pt idx="25">
                  <c:v>80</c:v>
                </c:pt>
                <c:pt idx="26">
                  <c:v>81</c:v>
                </c:pt>
                <c:pt idx="27">
                  <c:v>82</c:v>
                </c:pt>
                <c:pt idx="28">
                  <c:v>83</c:v>
                </c:pt>
                <c:pt idx="29">
                  <c:v>84</c:v>
                </c:pt>
                <c:pt idx="30">
                  <c:v>85</c:v>
                </c:pt>
                <c:pt idx="31">
                  <c:v>86</c:v>
                </c:pt>
                <c:pt idx="32">
                  <c:v>87</c:v>
                </c:pt>
                <c:pt idx="33">
                  <c:v>88</c:v>
                </c:pt>
                <c:pt idx="34">
                  <c:v>89</c:v>
                </c:pt>
                <c:pt idx="35">
                  <c:v>90</c:v>
                </c:pt>
                <c:pt idx="36">
                  <c:v>91</c:v>
                </c:pt>
                <c:pt idx="37">
                  <c:v>92</c:v>
                </c:pt>
                <c:pt idx="38">
                  <c:v>93</c:v>
                </c:pt>
                <c:pt idx="39">
                  <c:v>94</c:v>
                </c:pt>
                <c:pt idx="40">
                  <c:v>95</c:v>
                </c:pt>
                <c:pt idx="41">
                  <c:v>96</c:v>
                </c:pt>
                <c:pt idx="42">
                  <c:v>97</c:v>
                </c:pt>
                <c:pt idx="43">
                  <c:v>98</c:v>
                </c:pt>
                <c:pt idx="44">
                  <c:v>99</c:v>
                </c:pt>
                <c:pt idx="45">
                  <c:v>100</c:v>
                </c:pt>
                <c:pt idx="46">
                  <c:v>101</c:v>
                </c:pt>
                <c:pt idx="47">
                  <c:v>102</c:v>
                </c:pt>
                <c:pt idx="48">
                  <c:v>103</c:v>
                </c:pt>
                <c:pt idx="49">
                  <c:v>104</c:v>
                </c:pt>
                <c:pt idx="50">
                  <c:v>105</c:v>
                </c:pt>
                <c:pt idx="51">
                  <c:v>106</c:v>
                </c:pt>
                <c:pt idx="52">
                  <c:v>107</c:v>
                </c:pt>
                <c:pt idx="53">
                  <c:v>108</c:v>
                </c:pt>
                <c:pt idx="54">
                  <c:v>109</c:v>
                </c:pt>
                <c:pt idx="55">
                  <c:v>110</c:v>
                </c:pt>
              </c:numCache>
            </c:numRef>
          </c:cat>
          <c:val>
            <c:numRef>
              <c:f>'Hedging Table'!$B$5:$B$60</c:f>
              <c:numCache>
                <c:formatCode>0.0000</c:formatCode>
                <c:ptCount val="56"/>
                <c:pt idx="0">
                  <c:v>27.902288876800551</c:v>
                </c:pt>
                <c:pt idx="1">
                  <c:v>27.783607621249939</c:v>
                </c:pt>
                <c:pt idx="2">
                  <c:v>27.610694611709615</c:v>
                </c:pt>
                <c:pt idx="3">
                  <c:v>27.382783456955011</c:v>
                </c:pt>
                <c:pt idx="4">
                  <c:v>27.099534627118832</c:v>
                </c:pt>
                <c:pt idx="5">
                  <c:v>26.761160159183852</c:v>
                </c:pt>
                <c:pt idx="6">
                  <c:v>26.368357838836406</c:v>
                </c:pt>
                <c:pt idx="7">
                  <c:v>25.922389833161834</c:v>
                </c:pt>
                <c:pt idx="8">
                  <c:v>25.425067922858943</c:v>
                </c:pt>
                <c:pt idx="9">
                  <c:v>24.878746047121879</c:v>
                </c:pt>
                <c:pt idx="10">
                  <c:v>24.286301276056506</c:v>
                </c:pt>
                <c:pt idx="11">
                  <c:v>23.651079422963377</c:v>
                </c:pt>
                <c:pt idx="12">
                  <c:v>22.976919424143507</c:v>
                </c:pt>
                <c:pt idx="13">
                  <c:v>22.268044897835484</c:v>
                </c:pt>
                <c:pt idx="14">
                  <c:v>21.529025000293483</c:v>
                </c:pt>
                <c:pt idx="15">
                  <c:v>20.76469137983344</c:v>
                </c:pt>
                <c:pt idx="16">
                  <c:v>19.980049841869221</c:v>
                </c:pt>
                <c:pt idx="17">
                  <c:v>19.180229819202584</c:v>
                </c:pt>
                <c:pt idx="18">
                  <c:v>18.370382910324281</c:v>
                </c:pt>
                <c:pt idx="19">
                  <c:v>17.555602527381986</c:v>
                </c:pt>
                <c:pt idx="20">
                  <c:v>16.740816540245223</c:v>
                </c:pt>
                <c:pt idx="21">
                  <c:v>15.930771584240448</c:v>
                </c:pt>
                <c:pt idx="22">
                  <c:v>15.129907383599749</c:v>
                </c:pt>
                <c:pt idx="23">
                  <c:v>14.342332288145865</c:v>
                </c:pt>
                <c:pt idx="24">
                  <c:v>13.571759118088032</c:v>
                </c:pt>
                <c:pt idx="25">
                  <c:v>12.821470235216662</c:v>
                </c:pt>
                <c:pt idx="26">
                  <c:v>12.094299404718868</c:v>
                </c:pt>
                <c:pt idx="27">
                  <c:v>11.392605581378767</c:v>
                </c:pt>
                <c:pt idx="28">
                  <c:v>10.718272827728848</c:v>
                </c:pt>
                <c:pt idx="29">
                  <c:v>10.072735413622738</c:v>
                </c:pt>
                <c:pt idx="30">
                  <c:v>9.4569637407636709</c:v>
                </c:pt>
                <c:pt idx="31">
                  <c:v>8.8715186437248938</c:v>
                </c:pt>
                <c:pt idx="32">
                  <c:v>8.3165498534343296</c:v>
                </c:pt>
                <c:pt idx="33">
                  <c:v>7.7918608155213382</c:v>
                </c:pt>
                <c:pt idx="34">
                  <c:v>7.2969115936350395</c:v>
                </c:pt>
                <c:pt idx="35">
                  <c:v>6.8308903071639415</c:v>
                </c:pt>
                <c:pt idx="36">
                  <c:v>6.3927130744113354</c:v>
                </c:pt>
                <c:pt idx="37">
                  <c:v>5.9810416186321413</c:v>
                </c:pt>
                <c:pt idx="38">
                  <c:v>5.5942374395447079</c:v>
                </c:pt>
                <c:pt idx="39">
                  <c:v>5.2305523484626173</c:v>
                </c:pt>
                <c:pt idx="40">
                  <c:v>4.8890854842000424</c:v>
                </c:pt>
                <c:pt idx="41">
                  <c:v>4.5690839506034955</c:v>
                </c:pt>
                <c:pt idx="42">
                  <c:v>4.2697468619648564</c:v>
                </c:pt>
                <c:pt idx="43">
                  <c:v>3.9902202568824876</c:v>
                </c:pt>
                <c:pt idx="44">
                  <c:v>3.7296228543126091</c:v>
                </c:pt>
                <c:pt idx="45">
                  <c:v>3.4870474603551589</c:v>
                </c:pt>
                <c:pt idx="46">
                  <c:v>3.2615770345404456</c:v>
                </c:pt>
                <c:pt idx="47">
                  <c:v>3.0522931975097074</c:v>
                </c:pt>
                <c:pt idx="48">
                  <c:v>2.8582839442295445</c:v>
                </c:pt>
                <c:pt idx="49">
                  <c:v>2.6786501497896849</c:v>
                </c:pt>
                <c:pt idx="50">
                  <c:v>2.5125102095988856</c:v>
                </c:pt>
                <c:pt idx="51">
                  <c:v>2.3590057064025349</c:v>
                </c:pt>
                <c:pt idx="52">
                  <c:v>2.2172922677592974</c:v>
                </c:pt>
                <c:pt idx="53">
                  <c:v>2.0865401697988673</c:v>
                </c:pt>
                <c:pt idx="54">
                  <c:v>1.9659073343261415</c:v>
                </c:pt>
                <c:pt idx="55">
                  <c:v>1.8544880204702352</c:v>
                </c:pt>
              </c:numCache>
            </c:numRef>
          </c:val>
          <c:smooth val="0"/>
        </c:ser>
        <c:dLbls>
          <c:showLegendKey val="0"/>
          <c:showVal val="0"/>
          <c:showCatName val="0"/>
          <c:showSerName val="0"/>
          <c:showPercent val="0"/>
          <c:showBubbleSize val="0"/>
        </c:dLbls>
        <c:marker val="1"/>
        <c:smooth val="0"/>
        <c:axId val="299760640"/>
        <c:axId val="230818944"/>
      </c:lineChart>
      <c:catAx>
        <c:axId val="299760640"/>
        <c:scaling>
          <c:orientation val="minMax"/>
        </c:scaling>
        <c:delete val="0"/>
        <c:axPos val="b"/>
        <c:title>
          <c:tx>
            <c:rich>
              <a:bodyPr/>
              <a:lstStyle/>
              <a:p>
                <a:pPr>
                  <a:defRPr/>
                </a:pPr>
                <a:r>
                  <a:rPr lang="en-US"/>
                  <a:t>Annuitant age</a:t>
                </a:r>
              </a:p>
            </c:rich>
          </c:tx>
          <c:overlay val="0"/>
        </c:title>
        <c:numFmt formatCode="General" sourceLinked="1"/>
        <c:majorTickMark val="out"/>
        <c:minorTickMark val="none"/>
        <c:tickLblPos val="nextTo"/>
        <c:crossAx val="230818944"/>
        <c:crosses val="autoZero"/>
        <c:auto val="1"/>
        <c:lblAlgn val="ctr"/>
        <c:lblOffset val="100"/>
        <c:noMultiLvlLbl val="0"/>
      </c:catAx>
      <c:valAx>
        <c:axId val="230818944"/>
        <c:scaling>
          <c:orientation val="minMax"/>
        </c:scaling>
        <c:delete val="0"/>
        <c:axPos val="l"/>
        <c:majorGridlines/>
        <c:title>
          <c:tx>
            <c:rich>
              <a:bodyPr rot="-5400000" vert="horz"/>
              <a:lstStyle/>
              <a:p>
                <a:pPr>
                  <a:defRPr/>
                </a:pPr>
                <a:r>
                  <a:rPr lang="en-US"/>
                  <a:t>Assurances required</a:t>
                </a:r>
              </a:p>
            </c:rich>
          </c:tx>
          <c:overlay val="0"/>
        </c:title>
        <c:numFmt formatCode="0" sourceLinked="0"/>
        <c:majorTickMark val="out"/>
        <c:minorTickMark val="none"/>
        <c:tickLblPos val="nextTo"/>
        <c:crossAx val="29976064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Assurances required at each</a:t>
            </a:r>
            <a:r>
              <a:rPr lang="en-US" baseline="0"/>
              <a:t> age to hedge a single </a:t>
            </a:r>
            <a:r>
              <a:rPr lang="en-US"/>
              <a:t>65 year old annuity</a:t>
            </a:r>
          </a:p>
        </c:rich>
      </c:tx>
      <c:overlay val="0"/>
    </c:title>
    <c:autoTitleDeleted val="0"/>
    <c:plotArea>
      <c:layout/>
      <c:lineChart>
        <c:grouping val="standard"/>
        <c:varyColors val="0"/>
        <c:ser>
          <c:idx val="0"/>
          <c:order val="0"/>
          <c:tx>
            <c:v>Assu</c:v>
          </c:tx>
          <c:marker>
            <c:symbol val="none"/>
          </c:marker>
          <c:cat>
            <c:numRef>
              <c:f>'Hedging Table'!$B$3:$AZ$3</c:f>
              <c:numCache>
                <c:formatCode>General</c:formatCode>
                <c:ptCount val="51"/>
                <c:pt idx="0">
                  <c:v>25</c:v>
                </c:pt>
                <c:pt idx="1">
                  <c:v>26</c:v>
                </c:pt>
                <c:pt idx="2">
                  <c:v>27</c:v>
                </c:pt>
                <c:pt idx="3">
                  <c:v>28</c:v>
                </c:pt>
                <c:pt idx="4">
                  <c:v>29</c:v>
                </c:pt>
                <c:pt idx="5">
                  <c:v>30</c:v>
                </c:pt>
                <c:pt idx="6">
                  <c:v>31</c:v>
                </c:pt>
                <c:pt idx="7">
                  <c:v>32</c:v>
                </c:pt>
                <c:pt idx="8">
                  <c:v>33</c:v>
                </c:pt>
                <c:pt idx="9">
                  <c:v>34</c:v>
                </c:pt>
                <c:pt idx="10">
                  <c:v>35</c:v>
                </c:pt>
                <c:pt idx="11">
                  <c:v>36</c:v>
                </c:pt>
                <c:pt idx="12">
                  <c:v>37</c:v>
                </c:pt>
                <c:pt idx="13">
                  <c:v>38</c:v>
                </c:pt>
                <c:pt idx="14">
                  <c:v>39</c:v>
                </c:pt>
                <c:pt idx="15">
                  <c:v>40</c:v>
                </c:pt>
                <c:pt idx="16">
                  <c:v>41</c:v>
                </c:pt>
                <c:pt idx="17">
                  <c:v>42</c:v>
                </c:pt>
                <c:pt idx="18">
                  <c:v>43</c:v>
                </c:pt>
                <c:pt idx="19">
                  <c:v>44</c:v>
                </c:pt>
                <c:pt idx="20">
                  <c:v>45</c:v>
                </c:pt>
                <c:pt idx="21">
                  <c:v>46</c:v>
                </c:pt>
                <c:pt idx="22">
                  <c:v>47</c:v>
                </c:pt>
                <c:pt idx="23">
                  <c:v>48</c:v>
                </c:pt>
                <c:pt idx="24">
                  <c:v>49</c:v>
                </c:pt>
                <c:pt idx="25">
                  <c:v>50</c:v>
                </c:pt>
                <c:pt idx="26">
                  <c:v>51</c:v>
                </c:pt>
                <c:pt idx="27">
                  <c:v>52</c:v>
                </c:pt>
                <c:pt idx="28">
                  <c:v>53</c:v>
                </c:pt>
                <c:pt idx="29">
                  <c:v>54</c:v>
                </c:pt>
                <c:pt idx="30">
                  <c:v>55</c:v>
                </c:pt>
                <c:pt idx="31">
                  <c:v>56</c:v>
                </c:pt>
                <c:pt idx="32">
                  <c:v>57</c:v>
                </c:pt>
                <c:pt idx="33">
                  <c:v>58</c:v>
                </c:pt>
                <c:pt idx="34">
                  <c:v>59</c:v>
                </c:pt>
                <c:pt idx="35">
                  <c:v>60</c:v>
                </c:pt>
                <c:pt idx="36">
                  <c:v>61</c:v>
                </c:pt>
                <c:pt idx="37">
                  <c:v>62</c:v>
                </c:pt>
                <c:pt idx="38">
                  <c:v>63</c:v>
                </c:pt>
                <c:pt idx="39">
                  <c:v>64</c:v>
                </c:pt>
                <c:pt idx="40">
                  <c:v>65</c:v>
                </c:pt>
                <c:pt idx="41">
                  <c:v>66</c:v>
                </c:pt>
                <c:pt idx="42">
                  <c:v>67</c:v>
                </c:pt>
                <c:pt idx="43">
                  <c:v>68</c:v>
                </c:pt>
                <c:pt idx="44">
                  <c:v>69</c:v>
                </c:pt>
                <c:pt idx="45">
                  <c:v>70</c:v>
                </c:pt>
                <c:pt idx="46">
                  <c:v>71</c:v>
                </c:pt>
                <c:pt idx="47">
                  <c:v>72</c:v>
                </c:pt>
                <c:pt idx="48">
                  <c:v>73</c:v>
                </c:pt>
                <c:pt idx="49">
                  <c:v>74</c:v>
                </c:pt>
                <c:pt idx="50">
                  <c:v>75</c:v>
                </c:pt>
              </c:numCache>
            </c:numRef>
          </c:cat>
          <c:val>
            <c:numRef>
              <c:f>'Hedging Table'!$B$15:$AZ$15</c:f>
              <c:numCache>
                <c:formatCode>0.0000</c:formatCode>
                <c:ptCount val="51"/>
                <c:pt idx="0">
                  <c:v>24.286301276056506</c:v>
                </c:pt>
                <c:pt idx="1">
                  <c:v>23.56880482650956</c:v>
                </c:pt>
                <c:pt idx="2">
                  <c:v>22.885931016336787</c:v>
                </c:pt>
                <c:pt idx="3">
                  <c:v>22.237036549182687</c:v>
                </c:pt>
                <c:pt idx="4">
                  <c:v>21.621451241685527</c:v>
                </c:pt>
                <c:pt idx="5">
                  <c:v>21.038452989536427</c:v>
                </c:pt>
                <c:pt idx="6">
                  <c:v>20.487308830668354</c:v>
                </c:pt>
                <c:pt idx="7">
                  <c:v>19.967258050808695</c:v>
                </c:pt>
                <c:pt idx="8">
                  <c:v>19.477552405092776</c:v>
                </c:pt>
                <c:pt idx="9">
                  <c:v>19.017458476959145</c:v>
                </c:pt>
                <c:pt idx="10">
                  <c:v>18.586268243892793</c:v>
                </c:pt>
                <c:pt idx="11">
                  <c:v>18.183291398465542</c:v>
                </c:pt>
                <c:pt idx="12">
                  <c:v>17.807893514609091</c:v>
                </c:pt>
                <c:pt idx="13">
                  <c:v>17.459462721932312</c:v>
                </c:pt>
                <c:pt idx="14">
                  <c:v>17.137457228421329</c:v>
                </c:pt>
                <c:pt idx="15">
                  <c:v>16.841374286759276</c:v>
                </c:pt>
                <c:pt idx="16">
                  <c:v>16.570781907658333</c:v>
                </c:pt>
                <c:pt idx="17">
                  <c:v>16.325316379696083</c:v>
                </c:pt>
                <c:pt idx="18">
                  <c:v>16.1046743803808</c:v>
                </c:pt>
                <c:pt idx="19">
                  <c:v>15.908632346056292</c:v>
                </c:pt>
                <c:pt idx="20">
                  <c:v>15.737042386695443</c:v>
                </c:pt>
                <c:pt idx="21">
                  <c:v>15.589839736038435</c:v>
                </c:pt>
                <c:pt idx="22">
                  <c:v>15.467036982229008</c:v>
                </c:pt>
                <c:pt idx="23">
                  <c:v>15.368761047387006</c:v>
                </c:pt>
                <c:pt idx="24">
                  <c:v>15.295243434806714</c:v>
                </c:pt>
                <c:pt idx="25">
                  <c:v>15.246802271801847</c:v>
                </c:pt>
                <c:pt idx="26">
                  <c:v>15.223877047965923</c:v>
                </c:pt>
                <c:pt idx="27">
                  <c:v>15.227048030146785</c:v>
                </c:pt>
                <c:pt idx="28">
                  <c:v>15.256999206897952</c:v>
                </c:pt>
                <c:pt idx="29">
                  <c:v>15.314585023951079</c:v>
                </c:pt>
                <c:pt idx="30">
                  <c:v>15.400817937152423</c:v>
                </c:pt>
                <c:pt idx="31">
                  <c:v>15.516860101380953</c:v>
                </c:pt>
                <c:pt idx="32">
                  <c:v>15.66407136271863</c:v>
                </c:pt>
                <c:pt idx="33">
                  <c:v>15.844013039147177</c:v>
                </c:pt>
                <c:pt idx="34">
                  <c:v>16.058463388135724</c:v>
                </c:pt>
                <c:pt idx="35">
                  <c:v>16.30945140102699</c:v>
                </c:pt>
                <c:pt idx="36">
                  <c:v>16.599267166797805</c:v>
                </c:pt>
                <c:pt idx="37">
                  <c:v>16.93048595701411</c:v>
                </c:pt>
                <c:pt idx="38">
                  <c:v>17.306013621966724</c:v>
                </c:pt>
                <c:pt idx="39">
                  <c:v>17.729109755279026</c:v>
                </c:pt>
                <c:pt idx="40">
                  <c:v>18.203409961062537</c:v>
                </c:pt>
                <c:pt idx="41">
                  <c:v>18.732965133095274</c:v>
                </c:pt>
                <c:pt idx="42">
                  <c:v>19.322307519900381</c:v>
                </c:pt>
                <c:pt idx="43">
                  <c:v>19.976455597567153</c:v>
                </c:pt>
                <c:pt idx="44">
                  <c:v>20.70096206494944</c:v>
                </c:pt>
                <c:pt idx="45">
                  <c:v>21.501991965644134</c:v>
                </c:pt>
                <c:pt idx="46">
                  <c:v>22.38628672449023</c:v>
                </c:pt>
                <c:pt idx="47">
                  <c:v>23.361265910172239</c:v>
                </c:pt>
                <c:pt idx="48">
                  <c:v>24.43502177572627</c:v>
                </c:pt>
                <c:pt idx="49">
                  <c:v>25.616275514405391</c:v>
                </c:pt>
                <c:pt idx="50">
                  <c:v>26.914413614665452</c:v>
                </c:pt>
              </c:numCache>
            </c:numRef>
          </c:val>
          <c:smooth val="0"/>
        </c:ser>
        <c:dLbls>
          <c:showLegendKey val="0"/>
          <c:showVal val="0"/>
          <c:showCatName val="0"/>
          <c:showSerName val="0"/>
          <c:showPercent val="0"/>
          <c:showBubbleSize val="0"/>
        </c:dLbls>
        <c:marker val="1"/>
        <c:smooth val="0"/>
        <c:axId val="230835328"/>
        <c:axId val="230837248"/>
      </c:lineChart>
      <c:catAx>
        <c:axId val="230835328"/>
        <c:scaling>
          <c:orientation val="minMax"/>
        </c:scaling>
        <c:delete val="0"/>
        <c:axPos val="b"/>
        <c:title>
          <c:tx>
            <c:rich>
              <a:bodyPr/>
              <a:lstStyle/>
              <a:p>
                <a:pPr>
                  <a:defRPr/>
                </a:pPr>
                <a:r>
                  <a:rPr lang="en-US"/>
                  <a:t>Life assured age</a:t>
                </a:r>
              </a:p>
            </c:rich>
          </c:tx>
          <c:overlay val="0"/>
        </c:title>
        <c:numFmt formatCode="General" sourceLinked="1"/>
        <c:majorTickMark val="out"/>
        <c:minorTickMark val="none"/>
        <c:tickLblPos val="nextTo"/>
        <c:crossAx val="230837248"/>
        <c:crosses val="autoZero"/>
        <c:auto val="1"/>
        <c:lblAlgn val="ctr"/>
        <c:lblOffset val="100"/>
        <c:noMultiLvlLbl val="0"/>
      </c:catAx>
      <c:valAx>
        <c:axId val="230837248"/>
        <c:scaling>
          <c:orientation val="minMax"/>
        </c:scaling>
        <c:delete val="0"/>
        <c:axPos val="l"/>
        <c:majorGridlines/>
        <c:title>
          <c:tx>
            <c:rich>
              <a:bodyPr rot="-5400000" vert="horz"/>
              <a:lstStyle/>
              <a:p>
                <a:pPr>
                  <a:defRPr/>
                </a:pPr>
                <a:r>
                  <a:rPr lang="en-US"/>
                  <a:t>Assurances required</a:t>
                </a:r>
              </a:p>
            </c:rich>
          </c:tx>
          <c:overlay val="0"/>
        </c:title>
        <c:numFmt formatCode="0" sourceLinked="0"/>
        <c:majorTickMark val="out"/>
        <c:minorTickMark val="none"/>
        <c:tickLblPos val="nextTo"/>
        <c:crossAx val="23083532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Cash-flows for a portfolio of assurances for different longevity improvements</a:t>
            </a:r>
          </a:p>
        </c:rich>
      </c:tx>
      <c:overlay val="0"/>
    </c:title>
    <c:autoTitleDeleted val="0"/>
    <c:plotArea>
      <c:layout/>
      <c:lineChart>
        <c:grouping val="standard"/>
        <c:varyColors val="0"/>
        <c:ser>
          <c:idx val="0"/>
          <c:order val="0"/>
          <c:tx>
            <c:strRef>
              <c:f>'Ass Port Rundown'!$D$7</c:f>
              <c:strCache>
                <c:ptCount val="1"/>
                <c:pt idx="0">
                  <c:v>No Improve</c:v>
                </c:pt>
              </c:strCache>
            </c:strRef>
          </c:tx>
          <c:marker>
            <c:symbol val="none"/>
          </c:marker>
          <c:cat>
            <c:numRef>
              <c:f>'Ass Port Rundown'!$E$6:$BF$6</c:f>
              <c:numCache>
                <c:formatCode>_ * #,##0_ ;_ * \-#,##0_ ;_ * "-"??_ ;_ @_ </c:formatCode>
                <c:ptCount val="5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numCache>
            </c:numRef>
          </c:cat>
          <c:val>
            <c:numRef>
              <c:f>'Ass Port Rundown'!$E$7:$BF$7</c:f>
              <c:numCache>
                <c:formatCode>_ * #,##0_ ;_ * \-#,##0_ ;_ * "-"??_ ;_ @_ </c:formatCode>
                <c:ptCount val="54"/>
                <c:pt idx="0">
                  <c:v>91907842.793124735</c:v>
                </c:pt>
                <c:pt idx="1">
                  <c:v>79039478.711365432</c:v>
                </c:pt>
                <c:pt idx="2">
                  <c:v>53866537.955296375</c:v>
                </c:pt>
                <c:pt idx="3">
                  <c:v>75294610.40018332</c:v>
                </c:pt>
                <c:pt idx="4">
                  <c:v>37783308.079197384</c:v>
                </c:pt>
                <c:pt idx="5">
                  <c:v>71995420.974620596</c:v>
                </c:pt>
                <c:pt idx="6">
                  <c:v>79385347.023744851</c:v>
                </c:pt>
                <c:pt idx="7">
                  <c:v>83044860.398597717</c:v>
                </c:pt>
                <c:pt idx="8">
                  <c:v>94024396.246987879</c:v>
                </c:pt>
                <c:pt idx="9">
                  <c:v>90599194.399632841</c:v>
                </c:pt>
                <c:pt idx="10">
                  <c:v>68563385.846650243</c:v>
                </c:pt>
                <c:pt idx="11">
                  <c:v>102727682.76132561</c:v>
                </c:pt>
                <c:pt idx="12">
                  <c:v>114958840.84865159</c:v>
                </c:pt>
                <c:pt idx="13">
                  <c:v>87136791.911055923</c:v>
                </c:pt>
                <c:pt idx="14">
                  <c:v>92553973.110003337</c:v>
                </c:pt>
                <c:pt idx="15">
                  <c:v>159880402.3811582</c:v>
                </c:pt>
                <c:pt idx="16">
                  <c:v>181684472.60148528</c:v>
                </c:pt>
                <c:pt idx="17">
                  <c:v>157357798.26229176</c:v>
                </c:pt>
                <c:pt idx="18">
                  <c:v>155868671.35536498</c:v>
                </c:pt>
                <c:pt idx="19">
                  <c:v>184900066.6985096</c:v>
                </c:pt>
                <c:pt idx="20">
                  <c:v>249069495.85976669</c:v>
                </c:pt>
                <c:pt idx="21">
                  <c:v>240302871.15423357</c:v>
                </c:pt>
                <c:pt idx="22">
                  <c:v>192221064.03228506</c:v>
                </c:pt>
                <c:pt idx="23">
                  <c:v>236225478.32029819</c:v>
                </c:pt>
                <c:pt idx="24">
                  <c:v>314358725.92141014</c:v>
                </c:pt>
                <c:pt idx="25">
                  <c:v>312791344.84397823</c:v>
                </c:pt>
                <c:pt idx="26">
                  <c:v>313159675.88916171</c:v>
                </c:pt>
                <c:pt idx="27">
                  <c:v>334244387.10465121</c:v>
                </c:pt>
                <c:pt idx="28">
                  <c:v>384634372.41236919</c:v>
                </c:pt>
                <c:pt idx="29">
                  <c:v>430488302.55480957</c:v>
                </c:pt>
                <c:pt idx="30">
                  <c:v>513202864.12749702</c:v>
                </c:pt>
                <c:pt idx="31">
                  <c:v>527081329.240358</c:v>
                </c:pt>
                <c:pt idx="32">
                  <c:v>452473352.25383091</c:v>
                </c:pt>
                <c:pt idx="33">
                  <c:v>576099043.77026725</c:v>
                </c:pt>
                <c:pt idx="34">
                  <c:v>600166710.5331291</c:v>
                </c:pt>
                <c:pt idx="35">
                  <c:v>622045133.30558968</c:v>
                </c:pt>
                <c:pt idx="36">
                  <c:v>683584468.95527029</c:v>
                </c:pt>
                <c:pt idx="37">
                  <c:v>774852780.99373496</c:v>
                </c:pt>
                <c:pt idx="38">
                  <c:v>866672684.12706888</c:v>
                </c:pt>
                <c:pt idx="39">
                  <c:v>847154987.44027328</c:v>
                </c:pt>
                <c:pt idx="40">
                  <c:v>809446988.55234444</c:v>
                </c:pt>
                <c:pt idx="41">
                  <c:v>850199910.73336995</c:v>
                </c:pt>
                <c:pt idx="42">
                  <c:v>847476830.41643107</c:v>
                </c:pt>
                <c:pt idx="43">
                  <c:v>904735515.62887251</c:v>
                </c:pt>
                <c:pt idx="44">
                  <c:v>883988361.42208207</c:v>
                </c:pt>
                <c:pt idx="45">
                  <c:v>772737189.05039525</c:v>
                </c:pt>
                <c:pt idx="46">
                  <c:v>794436969.84141016</c:v>
                </c:pt>
                <c:pt idx="47">
                  <c:v>773938378.33390784</c:v>
                </c:pt>
                <c:pt idx="48">
                  <c:v>788229673.08577335</c:v>
                </c:pt>
                <c:pt idx="49">
                  <c:v>702769846.83875096</c:v>
                </c:pt>
                <c:pt idx="50">
                  <c:v>566596015.51047528</c:v>
                </c:pt>
                <c:pt idx="51">
                  <c:v>570164944.33397007</c:v>
                </c:pt>
                <c:pt idx="52">
                  <c:v>482147984.34231716</c:v>
                </c:pt>
                <c:pt idx="53">
                  <c:v>475268474.14410162</c:v>
                </c:pt>
              </c:numCache>
            </c:numRef>
          </c:val>
          <c:smooth val="0"/>
        </c:ser>
        <c:ser>
          <c:idx val="1"/>
          <c:order val="1"/>
          <c:tx>
            <c:strRef>
              <c:f>'Ass Port Rundown'!$D$8</c:f>
              <c:strCache>
                <c:ptCount val="1"/>
                <c:pt idx="0">
                  <c:v>1% Improve</c:v>
                </c:pt>
              </c:strCache>
            </c:strRef>
          </c:tx>
          <c:marker>
            <c:symbol val="none"/>
          </c:marker>
          <c:cat>
            <c:numRef>
              <c:f>'Ass Port Rundown'!$E$6:$BF$6</c:f>
              <c:numCache>
                <c:formatCode>_ * #,##0_ ;_ * \-#,##0_ ;_ * "-"??_ ;_ @_ </c:formatCode>
                <c:ptCount val="5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numCache>
            </c:numRef>
          </c:cat>
          <c:val>
            <c:numRef>
              <c:f>'Ass Port Rundown'!$E$8:$BF$8</c:f>
              <c:numCache>
                <c:formatCode>_ * #,##0_ ;_ * \-#,##0_ ;_ * "-"??_ ;_ @_ </c:formatCode>
                <c:ptCount val="54"/>
                <c:pt idx="0">
                  <c:v>64618389.125429459</c:v>
                </c:pt>
                <c:pt idx="1">
                  <c:v>4964202.7779479604</c:v>
                </c:pt>
                <c:pt idx="2">
                  <c:v>18628767.002773926</c:v>
                </c:pt>
                <c:pt idx="3">
                  <c:v>9402702.0341752861</c:v>
                </c:pt>
                <c:pt idx="4">
                  <c:v>12826922.067514788</c:v>
                </c:pt>
                <c:pt idx="5">
                  <c:v>21656341.706211217</c:v>
                </c:pt>
                <c:pt idx="6">
                  <c:v>6595460.9875885164</c:v>
                </c:pt>
                <c:pt idx="7">
                  <c:v>9414498.9010311309</c:v>
                </c:pt>
                <c:pt idx="8">
                  <c:v>29081214.7689109</c:v>
                </c:pt>
                <c:pt idx="9">
                  <c:v>35843591.349001504</c:v>
                </c:pt>
                <c:pt idx="10">
                  <c:v>29050478.858228281</c:v>
                </c:pt>
                <c:pt idx="11">
                  <c:v>40602061.550274536</c:v>
                </c:pt>
                <c:pt idx="12">
                  <c:v>40934945.434353769</c:v>
                </c:pt>
                <c:pt idx="13">
                  <c:v>28382310.774420861</c:v>
                </c:pt>
                <c:pt idx="14">
                  <c:v>53582633.766289562</c:v>
                </c:pt>
                <c:pt idx="15">
                  <c:v>36081001.537653774</c:v>
                </c:pt>
                <c:pt idx="16">
                  <c:v>63142490.998168349</c:v>
                </c:pt>
                <c:pt idx="17">
                  <c:v>60248825.812360592</c:v>
                </c:pt>
                <c:pt idx="18">
                  <c:v>64808760.219450742</c:v>
                </c:pt>
                <c:pt idx="19">
                  <c:v>81497330.773376659</c:v>
                </c:pt>
                <c:pt idx="20">
                  <c:v>118476571.1968426</c:v>
                </c:pt>
                <c:pt idx="21">
                  <c:v>75152849.122662038</c:v>
                </c:pt>
                <c:pt idx="22">
                  <c:v>109929568.07512122</c:v>
                </c:pt>
                <c:pt idx="23">
                  <c:v>139395353.71982357</c:v>
                </c:pt>
                <c:pt idx="24">
                  <c:v>127934054.78608012</c:v>
                </c:pt>
                <c:pt idx="25">
                  <c:v>171508656.72870958</c:v>
                </c:pt>
                <c:pt idx="26">
                  <c:v>206813076.99466941</c:v>
                </c:pt>
                <c:pt idx="27">
                  <c:v>257461458.77182153</c:v>
                </c:pt>
                <c:pt idx="28">
                  <c:v>225400706.05108303</c:v>
                </c:pt>
                <c:pt idx="29">
                  <c:v>249513207.81959838</c:v>
                </c:pt>
                <c:pt idx="30">
                  <c:v>330332486.45328963</c:v>
                </c:pt>
                <c:pt idx="31">
                  <c:v>287549149.55564845</c:v>
                </c:pt>
                <c:pt idx="32">
                  <c:v>323935100.61316514</c:v>
                </c:pt>
                <c:pt idx="33">
                  <c:v>380801761.86405498</c:v>
                </c:pt>
                <c:pt idx="34">
                  <c:v>376303927.66845053</c:v>
                </c:pt>
                <c:pt idx="35">
                  <c:v>470717910.10462248</c:v>
                </c:pt>
                <c:pt idx="36">
                  <c:v>522542818.19876266</c:v>
                </c:pt>
                <c:pt idx="37">
                  <c:v>557344101.07686365</c:v>
                </c:pt>
                <c:pt idx="38">
                  <c:v>512681313.17342073</c:v>
                </c:pt>
                <c:pt idx="39">
                  <c:v>576695250.89145267</c:v>
                </c:pt>
                <c:pt idx="40">
                  <c:v>664200213.64349282</c:v>
                </c:pt>
                <c:pt idx="41">
                  <c:v>690174353.53559089</c:v>
                </c:pt>
                <c:pt idx="42">
                  <c:v>601537768.45119572</c:v>
                </c:pt>
                <c:pt idx="43">
                  <c:v>628296431.5112381</c:v>
                </c:pt>
                <c:pt idx="44">
                  <c:v>638995861.52824914</c:v>
                </c:pt>
                <c:pt idx="45">
                  <c:v>720837519.3770889</c:v>
                </c:pt>
                <c:pt idx="46">
                  <c:v>704420243.33919096</c:v>
                </c:pt>
                <c:pt idx="47">
                  <c:v>637235033.89372933</c:v>
                </c:pt>
                <c:pt idx="48">
                  <c:v>592849852.89170504</c:v>
                </c:pt>
                <c:pt idx="49">
                  <c:v>738969078.0746274</c:v>
                </c:pt>
                <c:pt idx="50">
                  <c:v>696385370.82366097</c:v>
                </c:pt>
                <c:pt idx="51">
                  <c:v>633207551.28904963</c:v>
                </c:pt>
                <c:pt idx="52">
                  <c:v>680700953.80784464</c:v>
                </c:pt>
                <c:pt idx="53">
                  <c:v>586071425.04407227</c:v>
                </c:pt>
              </c:numCache>
            </c:numRef>
          </c:val>
          <c:smooth val="0"/>
        </c:ser>
        <c:dLbls>
          <c:showLegendKey val="0"/>
          <c:showVal val="0"/>
          <c:showCatName val="0"/>
          <c:showSerName val="0"/>
          <c:showPercent val="0"/>
          <c:showBubbleSize val="0"/>
        </c:dLbls>
        <c:marker val="1"/>
        <c:smooth val="0"/>
        <c:axId val="231391232"/>
        <c:axId val="231393152"/>
      </c:lineChart>
      <c:catAx>
        <c:axId val="231391232"/>
        <c:scaling>
          <c:orientation val="minMax"/>
        </c:scaling>
        <c:delete val="0"/>
        <c:axPos val="b"/>
        <c:title>
          <c:tx>
            <c:rich>
              <a:bodyPr/>
              <a:lstStyle/>
              <a:p>
                <a:pPr>
                  <a:defRPr/>
                </a:pPr>
                <a:r>
                  <a:rPr lang="en-US"/>
                  <a:t>Term in years</a:t>
                </a:r>
              </a:p>
            </c:rich>
          </c:tx>
          <c:overlay val="0"/>
        </c:title>
        <c:numFmt formatCode="_ * #,##0_ ;_ * \-#,##0_ ;_ * &quot;-&quot;??_ ;_ @_ " sourceLinked="1"/>
        <c:majorTickMark val="out"/>
        <c:minorTickMark val="none"/>
        <c:tickLblPos val="nextTo"/>
        <c:txPr>
          <a:bodyPr rot="5400000" vert="horz"/>
          <a:lstStyle/>
          <a:p>
            <a:pPr>
              <a:defRPr/>
            </a:pPr>
            <a:endParaRPr lang="en-US"/>
          </a:p>
        </c:txPr>
        <c:crossAx val="231393152"/>
        <c:crosses val="autoZero"/>
        <c:auto val="1"/>
        <c:lblAlgn val="ctr"/>
        <c:lblOffset val="100"/>
        <c:noMultiLvlLbl val="0"/>
      </c:catAx>
      <c:valAx>
        <c:axId val="231393152"/>
        <c:scaling>
          <c:orientation val="minMax"/>
        </c:scaling>
        <c:delete val="0"/>
        <c:axPos val="l"/>
        <c:majorGridlines/>
        <c:title>
          <c:tx>
            <c:rich>
              <a:bodyPr rot="-5400000" vert="horz"/>
              <a:lstStyle/>
              <a:p>
                <a:pPr>
                  <a:defRPr/>
                </a:pPr>
                <a:r>
                  <a:rPr lang="en-US"/>
                  <a:t>Cash-flows</a:t>
                </a:r>
              </a:p>
            </c:rich>
          </c:tx>
          <c:overlay val="0"/>
        </c:title>
        <c:numFmt formatCode="_ * #,##0_ ;_ * \-#,##0_ ;_ * &quot;-&quot;??_ ;_ @_ " sourceLinked="1"/>
        <c:majorTickMark val="out"/>
        <c:minorTickMark val="none"/>
        <c:tickLblPos val="nextTo"/>
        <c:crossAx val="231391232"/>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ZA"/>
              <a:t>Cash-flows for a portfolio</a:t>
            </a:r>
            <a:r>
              <a:rPr lang="en-ZA" baseline="0"/>
              <a:t> of annuities for different longevity improvements</a:t>
            </a:r>
            <a:endParaRPr lang="en-ZA"/>
          </a:p>
        </c:rich>
      </c:tx>
      <c:overlay val="0"/>
    </c:title>
    <c:autoTitleDeleted val="0"/>
    <c:plotArea>
      <c:layout/>
      <c:lineChart>
        <c:grouping val="standard"/>
        <c:varyColors val="0"/>
        <c:ser>
          <c:idx val="0"/>
          <c:order val="0"/>
          <c:tx>
            <c:strRef>
              <c:f>'Ann Port Rundown'!$C$4</c:f>
              <c:strCache>
                <c:ptCount val="1"/>
                <c:pt idx="0">
                  <c:v>No Improve</c:v>
                </c:pt>
              </c:strCache>
            </c:strRef>
          </c:tx>
          <c:marker>
            <c:symbol val="none"/>
          </c:marker>
          <c:val>
            <c:numRef>
              <c:f>'Ann Port Rundown'!$D$4:$AB$4</c:f>
              <c:numCache>
                <c:formatCode>General</c:formatCode>
                <c:ptCount val="25"/>
                <c:pt idx="0" formatCode="_(* #,##0.00_);_(* \(#,##0.00\);_(* &quot;-&quot;??_);_(@_)">
                  <c:v>1456612023.954634</c:v>
                </c:pt>
                <c:pt idx="1">
                  <c:v>1416326651.8474874</c:v>
                </c:pt>
                <c:pt idx="2">
                  <c:v>1373052041.1567535</c:v>
                </c:pt>
                <c:pt idx="3">
                  <c:v>1325388761.4425907</c:v>
                </c:pt>
                <c:pt idx="4">
                  <c:v>1276902172.0795729</c:v>
                </c:pt>
                <c:pt idx="5">
                  <c:v>1221433150.5276508</c:v>
                </c:pt>
                <c:pt idx="6">
                  <c:v>1169129554.0633259</c:v>
                </c:pt>
                <c:pt idx="7">
                  <c:v>1113687397.1952126</c:v>
                </c:pt>
                <c:pt idx="8">
                  <c:v>1057529305.9003091</c:v>
                </c:pt>
                <c:pt idx="9">
                  <c:v>1002693093.6357404</c:v>
                </c:pt>
                <c:pt idx="10">
                  <c:v>946585267.70721149</c:v>
                </c:pt>
                <c:pt idx="11">
                  <c:v>886342725.07420003</c:v>
                </c:pt>
                <c:pt idx="12">
                  <c:v>824149089.18877733</c:v>
                </c:pt>
                <c:pt idx="13">
                  <c:v>758303388.33599532</c:v>
                </c:pt>
                <c:pt idx="14">
                  <c:v>692415039.06650424</c:v>
                </c:pt>
                <c:pt idx="15">
                  <c:v>630277358.85939491</c:v>
                </c:pt>
                <c:pt idx="16">
                  <c:v>572393856.92773557</c:v>
                </c:pt>
                <c:pt idx="17">
                  <c:v>510997712.03365445</c:v>
                </c:pt>
                <c:pt idx="18">
                  <c:v>456102456.07070917</c:v>
                </c:pt>
                <c:pt idx="19">
                  <c:v>404812206.58545369</c:v>
                </c:pt>
                <c:pt idx="20">
                  <c:v>354458382.58608299</c:v>
                </c:pt>
                <c:pt idx="21">
                  <c:v>304677280.1872865</c:v>
                </c:pt>
                <c:pt idx="22">
                  <c:v>264532935.60289475</c:v>
                </c:pt>
                <c:pt idx="23">
                  <c:v>225618720.02184007</c:v>
                </c:pt>
                <c:pt idx="24">
                  <c:v>191555282.19784191</c:v>
                </c:pt>
              </c:numCache>
            </c:numRef>
          </c:val>
          <c:smooth val="0"/>
        </c:ser>
        <c:ser>
          <c:idx val="1"/>
          <c:order val="1"/>
          <c:tx>
            <c:strRef>
              <c:f>'Ann Port Rundown'!$C$5</c:f>
              <c:strCache>
                <c:ptCount val="1"/>
                <c:pt idx="0">
                  <c:v>1% Improve</c:v>
                </c:pt>
              </c:strCache>
            </c:strRef>
          </c:tx>
          <c:marker>
            <c:symbol val="none"/>
          </c:marker>
          <c:val>
            <c:numRef>
              <c:f>'Ann Port Rundown'!$D$5:$AB$5</c:f>
              <c:numCache>
                <c:formatCode>General</c:formatCode>
                <c:ptCount val="25"/>
                <c:pt idx="0" formatCode="_(* #,##0.00_);_(* \(#,##0.00\);_(* &quot;-&quot;??_);_(@_)">
                  <c:v>1461822724.7697811</c:v>
                </c:pt>
                <c:pt idx="1">
                  <c:v>1422596647.2491455</c:v>
                </c:pt>
                <c:pt idx="2">
                  <c:v>1385431697.1419015</c:v>
                </c:pt>
                <c:pt idx="3">
                  <c:v>1339770501.5017517</c:v>
                </c:pt>
                <c:pt idx="4">
                  <c:v>1296849221.626514</c:v>
                </c:pt>
                <c:pt idx="5">
                  <c:v>1242535760.2397652</c:v>
                </c:pt>
                <c:pt idx="6">
                  <c:v>1190184402.1158066</c:v>
                </c:pt>
                <c:pt idx="7">
                  <c:v>1137474530.0455723</c:v>
                </c:pt>
                <c:pt idx="8">
                  <c:v>1090087300.3487792</c:v>
                </c:pt>
                <c:pt idx="9">
                  <c:v>1039366536.1782361</c:v>
                </c:pt>
                <c:pt idx="10">
                  <c:v>980112101.55802631</c:v>
                </c:pt>
                <c:pt idx="11">
                  <c:v>923548241.6685102</c:v>
                </c:pt>
                <c:pt idx="12">
                  <c:v>862871382.24310243</c:v>
                </c:pt>
                <c:pt idx="13">
                  <c:v>803234948.5582031</c:v>
                </c:pt>
                <c:pt idx="14">
                  <c:v>741217716.95561898</c:v>
                </c:pt>
                <c:pt idx="15">
                  <c:v>680132103.99931872</c:v>
                </c:pt>
                <c:pt idx="16">
                  <c:v>621806336.87073565</c:v>
                </c:pt>
                <c:pt idx="17">
                  <c:v>565307032.37770128</c:v>
                </c:pt>
                <c:pt idx="18">
                  <c:v>511820659.06821156</c:v>
                </c:pt>
                <c:pt idx="19">
                  <c:v>461047813.03683728</c:v>
                </c:pt>
                <c:pt idx="20">
                  <c:v>414904839.94690549</c:v>
                </c:pt>
                <c:pt idx="21">
                  <c:v>371379866.39365715</c:v>
                </c:pt>
                <c:pt idx="22">
                  <c:v>334266965.37984151</c:v>
                </c:pt>
                <c:pt idx="23">
                  <c:v>292659388.15985554</c:v>
                </c:pt>
                <c:pt idx="24">
                  <c:v>256455807.81486869</c:v>
                </c:pt>
              </c:numCache>
            </c:numRef>
          </c:val>
          <c:smooth val="0"/>
        </c:ser>
        <c:dLbls>
          <c:showLegendKey val="0"/>
          <c:showVal val="0"/>
          <c:showCatName val="0"/>
          <c:showSerName val="0"/>
          <c:showPercent val="0"/>
          <c:showBubbleSize val="0"/>
        </c:dLbls>
        <c:marker val="1"/>
        <c:smooth val="0"/>
        <c:axId val="235330560"/>
        <c:axId val="235332736"/>
      </c:lineChart>
      <c:catAx>
        <c:axId val="235330560"/>
        <c:scaling>
          <c:orientation val="minMax"/>
        </c:scaling>
        <c:delete val="0"/>
        <c:axPos val="b"/>
        <c:title>
          <c:tx>
            <c:rich>
              <a:bodyPr/>
              <a:lstStyle/>
              <a:p>
                <a:pPr>
                  <a:defRPr/>
                </a:pPr>
                <a:r>
                  <a:rPr lang="en-US"/>
                  <a:t>Term in years</a:t>
                </a:r>
              </a:p>
            </c:rich>
          </c:tx>
          <c:overlay val="0"/>
        </c:title>
        <c:majorTickMark val="out"/>
        <c:minorTickMark val="none"/>
        <c:tickLblPos val="nextTo"/>
        <c:crossAx val="235332736"/>
        <c:crosses val="autoZero"/>
        <c:auto val="1"/>
        <c:lblAlgn val="ctr"/>
        <c:lblOffset val="100"/>
        <c:noMultiLvlLbl val="0"/>
      </c:catAx>
      <c:valAx>
        <c:axId val="235332736"/>
        <c:scaling>
          <c:orientation val="minMax"/>
        </c:scaling>
        <c:delete val="0"/>
        <c:axPos val="l"/>
        <c:majorGridlines/>
        <c:title>
          <c:tx>
            <c:rich>
              <a:bodyPr rot="-5400000" vert="horz"/>
              <a:lstStyle/>
              <a:p>
                <a:pPr>
                  <a:defRPr/>
                </a:pPr>
                <a:r>
                  <a:rPr lang="en-US"/>
                  <a:t>Cash-flows</a:t>
                </a:r>
              </a:p>
            </c:rich>
          </c:tx>
          <c:overlay val="0"/>
        </c:title>
        <c:numFmt formatCode="_(* #,##0.00_);_(* \(#,##0.00\);_(* &quot;-&quot;??_);_(@_)" sourceLinked="1"/>
        <c:majorTickMark val="out"/>
        <c:minorTickMark val="none"/>
        <c:tickLblPos val="nextTo"/>
        <c:crossAx val="235330560"/>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Difference in cash-flows for a portfolio of assurances and annuities</a:t>
            </a:r>
          </a:p>
        </c:rich>
      </c:tx>
      <c:overlay val="0"/>
    </c:title>
    <c:autoTitleDeleted val="0"/>
    <c:plotArea>
      <c:layout/>
      <c:lineChart>
        <c:grouping val="standard"/>
        <c:varyColors val="0"/>
        <c:ser>
          <c:idx val="0"/>
          <c:order val="0"/>
          <c:tx>
            <c:strRef>
              <c:f>'Ass Port Rundown'!$D$1</c:f>
              <c:strCache>
                <c:ptCount val="1"/>
                <c:pt idx="0">
                  <c:v>Diff Ann</c:v>
                </c:pt>
              </c:strCache>
            </c:strRef>
          </c:tx>
          <c:marker>
            <c:symbol val="none"/>
          </c:marker>
          <c:val>
            <c:numRef>
              <c:f>'Ass Port Rundown'!$E$1:$AC$1</c:f>
              <c:numCache>
                <c:formatCode>_ * #,##0_ ;_ * \-#,##0_ ;_ * "-"??_ ;_ @_ </c:formatCode>
                <c:ptCount val="25"/>
                <c:pt idx="0">
                  <c:v>-5210700.8151476355</c:v>
                </c:pt>
                <c:pt idx="1">
                  <c:v>-6269995.40165806</c:v>
                </c:pt>
                <c:pt idx="2">
                  <c:v>-12379655.985148668</c:v>
                </c:pt>
                <c:pt idx="3">
                  <c:v>-14381740.059160942</c:v>
                </c:pt>
                <c:pt idx="4">
                  <c:v>-19947049.546941042</c:v>
                </c:pt>
                <c:pt idx="5">
                  <c:v>-21102609.712113857</c:v>
                </c:pt>
                <c:pt idx="6">
                  <c:v>-21054848.052480947</c:v>
                </c:pt>
                <c:pt idx="7">
                  <c:v>-23787132.850359689</c:v>
                </c:pt>
                <c:pt idx="8">
                  <c:v>-32557994.448470116</c:v>
                </c:pt>
                <c:pt idx="9">
                  <c:v>-36673442.542495124</c:v>
                </c:pt>
                <c:pt idx="10">
                  <c:v>-33526833.850814939</c:v>
                </c:pt>
                <c:pt idx="11">
                  <c:v>-37205516.594310164</c:v>
                </c:pt>
                <c:pt idx="12">
                  <c:v>-38722293.054325081</c:v>
                </c:pt>
                <c:pt idx="13">
                  <c:v>-44931560.222207457</c:v>
                </c:pt>
                <c:pt idx="14">
                  <c:v>-48802677.889114738</c:v>
                </c:pt>
                <c:pt idx="15">
                  <c:v>-49854745.139923573</c:v>
                </c:pt>
                <c:pt idx="16">
                  <c:v>-49412479.943000056</c:v>
                </c:pt>
                <c:pt idx="17">
                  <c:v>-54309320.34404701</c:v>
                </c:pt>
                <c:pt idx="18">
                  <c:v>-55718202.997502387</c:v>
                </c:pt>
                <c:pt idx="19">
                  <c:v>-56235606.451383807</c:v>
                </c:pt>
                <c:pt idx="20">
                  <c:v>-60446457.36082235</c:v>
                </c:pt>
                <c:pt idx="21">
                  <c:v>-66702586.206370704</c:v>
                </c:pt>
                <c:pt idx="22">
                  <c:v>-69734029.776946738</c:v>
                </c:pt>
                <c:pt idx="23">
                  <c:v>-67040668.13801524</c:v>
                </c:pt>
                <c:pt idx="24">
                  <c:v>-64900525.617026754</c:v>
                </c:pt>
              </c:numCache>
            </c:numRef>
          </c:val>
          <c:smooth val="0"/>
        </c:ser>
        <c:ser>
          <c:idx val="1"/>
          <c:order val="1"/>
          <c:tx>
            <c:strRef>
              <c:f>'Ass Port Rundown'!$D$2</c:f>
              <c:strCache>
                <c:ptCount val="1"/>
                <c:pt idx="0">
                  <c:v>Diff Ass</c:v>
                </c:pt>
              </c:strCache>
            </c:strRef>
          </c:tx>
          <c:marker>
            <c:symbol val="none"/>
          </c:marker>
          <c:val>
            <c:numRef>
              <c:f>'Ass Port Rundown'!$E$2:$AC$2</c:f>
              <c:numCache>
                <c:formatCode>_ * #,##0_ ;_ * \-#,##0_ ;_ * "-"??_ ;_ @_ </c:formatCode>
                <c:ptCount val="25"/>
                <c:pt idx="0">
                  <c:v>27289453.667695288</c:v>
                </c:pt>
                <c:pt idx="1">
                  <c:v>74075275.933417469</c:v>
                </c:pt>
                <c:pt idx="2">
                  <c:v>35237770.952522419</c:v>
                </c:pt>
                <c:pt idx="3">
                  <c:v>65891908.366008028</c:v>
                </c:pt>
                <c:pt idx="4">
                  <c:v>24956386.01168257</c:v>
                </c:pt>
                <c:pt idx="5">
                  <c:v>50339079.268409491</c:v>
                </c:pt>
                <c:pt idx="6">
                  <c:v>72789886.036156371</c:v>
                </c:pt>
                <c:pt idx="7">
                  <c:v>73630361.497566625</c:v>
                </c:pt>
                <c:pt idx="8">
                  <c:v>64943181.47807692</c:v>
                </c:pt>
                <c:pt idx="9">
                  <c:v>54755603.050631329</c:v>
                </c:pt>
                <c:pt idx="10">
                  <c:v>39512906.988421984</c:v>
                </c:pt>
                <c:pt idx="11">
                  <c:v>62125621.211051002</c:v>
                </c:pt>
                <c:pt idx="12">
                  <c:v>74023895.414297923</c:v>
                </c:pt>
                <c:pt idx="13">
                  <c:v>58754481.136635013</c:v>
                </c:pt>
                <c:pt idx="14">
                  <c:v>38971339.34371379</c:v>
                </c:pt>
                <c:pt idx="15">
                  <c:v>123799400.84350446</c:v>
                </c:pt>
                <c:pt idx="16">
                  <c:v>118541981.60331699</c:v>
                </c:pt>
                <c:pt idx="17">
                  <c:v>97108972.449931189</c:v>
                </c:pt>
                <c:pt idx="18">
                  <c:v>91059911.135914162</c:v>
                </c:pt>
                <c:pt idx="19">
                  <c:v>103402735.92513303</c:v>
                </c:pt>
                <c:pt idx="20">
                  <c:v>130592924.66292404</c:v>
                </c:pt>
                <c:pt idx="21">
                  <c:v>165150022.03157139</c:v>
                </c:pt>
                <c:pt idx="22">
                  <c:v>82291495.957163766</c:v>
                </c:pt>
                <c:pt idx="23">
                  <c:v>96830124.600474611</c:v>
                </c:pt>
                <c:pt idx="24">
                  <c:v>186424671.13533002</c:v>
                </c:pt>
              </c:numCache>
            </c:numRef>
          </c:val>
          <c:smooth val="0"/>
        </c:ser>
        <c:ser>
          <c:idx val="2"/>
          <c:order val="2"/>
          <c:tx>
            <c:v>Sum</c:v>
          </c:tx>
          <c:marker>
            <c:symbol val="none"/>
          </c:marker>
          <c:val>
            <c:numRef>
              <c:f>'Ass Port Rundown'!$E$3:$AC$3</c:f>
              <c:numCache>
                <c:formatCode>_ * #,##0_ ;_ * \-#,##0_ ;_ * "-"??_ ;_ @_ </c:formatCode>
                <c:ptCount val="25"/>
                <c:pt idx="0">
                  <c:v>22078752.85254766</c:v>
                </c:pt>
                <c:pt idx="1">
                  <c:v>67805280.531759292</c:v>
                </c:pt>
                <c:pt idx="2">
                  <c:v>22858114.967373766</c:v>
                </c:pt>
                <c:pt idx="3">
                  <c:v>51510168.306847081</c:v>
                </c:pt>
                <c:pt idx="4">
                  <c:v>5009336.464741528</c:v>
                </c:pt>
                <c:pt idx="5">
                  <c:v>29236469.556295611</c:v>
                </c:pt>
                <c:pt idx="6">
                  <c:v>51735037.98367545</c:v>
                </c:pt>
                <c:pt idx="7">
                  <c:v>49843228.647206903</c:v>
                </c:pt>
                <c:pt idx="8">
                  <c:v>32385187.029606804</c:v>
                </c:pt>
                <c:pt idx="9">
                  <c:v>18082160.508136213</c:v>
                </c:pt>
                <c:pt idx="10">
                  <c:v>5986073.1376070678</c:v>
                </c:pt>
                <c:pt idx="11">
                  <c:v>24920104.616740841</c:v>
                </c:pt>
                <c:pt idx="12">
                  <c:v>35301602.359972723</c:v>
                </c:pt>
                <c:pt idx="13">
                  <c:v>13822920.914427577</c:v>
                </c:pt>
                <c:pt idx="14">
                  <c:v>-9831338.5454009119</c:v>
                </c:pt>
                <c:pt idx="15">
                  <c:v>73944655.703580886</c:v>
                </c:pt>
                <c:pt idx="16">
                  <c:v>69129501.660316914</c:v>
                </c:pt>
                <c:pt idx="17">
                  <c:v>42799652.105884135</c:v>
                </c:pt>
                <c:pt idx="18">
                  <c:v>35341708.13841185</c:v>
                </c:pt>
                <c:pt idx="19">
                  <c:v>47167129.47374925</c:v>
                </c:pt>
                <c:pt idx="20">
                  <c:v>70146467.302101672</c:v>
                </c:pt>
                <c:pt idx="21">
                  <c:v>98447435.825200632</c:v>
                </c:pt>
                <c:pt idx="22">
                  <c:v>12557466.180217013</c:v>
                </c:pt>
                <c:pt idx="23">
                  <c:v>29789456.462459382</c:v>
                </c:pt>
                <c:pt idx="24">
                  <c:v>121524145.51830325</c:v>
                </c:pt>
              </c:numCache>
            </c:numRef>
          </c:val>
          <c:smooth val="0"/>
        </c:ser>
        <c:dLbls>
          <c:showLegendKey val="0"/>
          <c:showVal val="0"/>
          <c:showCatName val="0"/>
          <c:showSerName val="0"/>
          <c:showPercent val="0"/>
          <c:showBubbleSize val="0"/>
        </c:dLbls>
        <c:marker val="1"/>
        <c:smooth val="0"/>
        <c:axId val="239762432"/>
        <c:axId val="231416960"/>
      </c:lineChart>
      <c:catAx>
        <c:axId val="239762432"/>
        <c:scaling>
          <c:orientation val="minMax"/>
        </c:scaling>
        <c:delete val="0"/>
        <c:axPos val="b"/>
        <c:title>
          <c:tx>
            <c:rich>
              <a:bodyPr/>
              <a:lstStyle/>
              <a:p>
                <a:pPr>
                  <a:defRPr/>
                </a:pPr>
                <a:r>
                  <a:rPr lang="en-US"/>
                  <a:t>Term in years</a:t>
                </a:r>
              </a:p>
            </c:rich>
          </c:tx>
          <c:overlay val="0"/>
        </c:title>
        <c:majorTickMark val="out"/>
        <c:minorTickMark val="none"/>
        <c:tickLblPos val="nextTo"/>
        <c:crossAx val="231416960"/>
        <c:crosses val="autoZero"/>
        <c:auto val="1"/>
        <c:lblAlgn val="ctr"/>
        <c:lblOffset val="100"/>
        <c:noMultiLvlLbl val="0"/>
      </c:catAx>
      <c:valAx>
        <c:axId val="231416960"/>
        <c:scaling>
          <c:orientation val="minMax"/>
        </c:scaling>
        <c:delete val="0"/>
        <c:axPos val="l"/>
        <c:majorGridlines/>
        <c:title>
          <c:tx>
            <c:rich>
              <a:bodyPr rot="-5400000" vert="horz"/>
              <a:lstStyle/>
              <a:p>
                <a:pPr>
                  <a:defRPr/>
                </a:pPr>
                <a:r>
                  <a:rPr lang="en-US"/>
                  <a:t>Cash-flows</a:t>
                </a:r>
              </a:p>
            </c:rich>
          </c:tx>
          <c:overlay val="0"/>
        </c:title>
        <c:numFmt formatCode="_ * #,##0_ ;_ * \-#,##0_ ;_ * &quot;-&quot;??_ ;_ @_ " sourceLinked="1"/>
        <c:majorTickMark val="out"/>
        <c:minorTickMark val="none"/>
        <c:tickLblPos val="nextTo"/>
        <c:crossAx val="2397624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PV for an annuity to a life aged 65 for different improvements in longevity</a:t>
            </a:r>
          </a:p>
        </c:rich>
      </c:tx>
      <c:overlay val="0"/>
    </c:title>
    <c:autoTitleDeleted val="0"/>
    <c:plotArea>
      <c:layout/>
      <c:lineChart>
        <c:grouping val="standard"/>
        <c:varyColors val="0"/>
        <c:ser>
          <c:idx val="1"/>
          <c:order val="0"/>
          <c:marker>
            <c:symbol val="none"/>
          </c:marker>
          <c:cat>
            <c:strRef>
              <c:f>'PMA80'!$B$113:$B$121</c:f>
              <c:strCache>
                <c:ptCount val="9"/>
                <c:pt idx="0">
                  <c:v>Original</c:v>
                </c:pt>
                <c:pt idx="1">
                  <c:v>0.50%</c:v>
                </c:pt>
                <c:pt idx="2">
                  <c:v>1.00%</c:v>
                </c:pt>
                <c:pt idx="3">
                  <c:v>1.50%</c:v>
                </c:pt>
                <c:pt idx="4">
                  <c:v>2.00%</c:v>
                </c:pt>
                <c:pt idx="5">
                  <c:v>2.50%</c:v>
                </c:pt>
                <c:pt idx="6">
                  <c:v>3.00%</c:v>
                </c:pt>
                <c:pt idx="7">
                  <c:v>3.50%</c:v>
                </c:pt>
                <c:pt idx="8">
                  <c:v>4.00%</c:v>
                </c:pt>
              </c:strCache>
            </c:strRef>
          </c:cat>
          <c:val>
            <c:numRef>
              <c:f>'PMA80'!$C$113:$C$121</c:f>
              <c:numCache>
                <c:formatCode>0.000000</c:formatCode>
                <c:ptCount val="9"/>
                <c:pt idx="0">
                  <c:v>9.6391314603307698</c:v>
                </c:pt>
                <c:pt idx="1">
                  <c:v>9.7878402153603972</c:v>
                </c:pt>
                <c:pt idx="2">
                  <c:v>9.9434212519873597</c:v>
                </c:pt>
                <c:pt idx="3">
                  <c:v>10.106436883159505</c:v>
                </c:pt>
                <c:pt idx="4">
                  <c:v>10.277494632463172</c:v>
                </c:pt>
                <c:pt idx="5">
                  <c:v>10.45718500810257</c:v>
                </c:pt>
                <c:pt idx="6">
                  <c:v>10.645933932329237</c:v>
                </c:pt>
                <c:pt idx="7">
                  <c:v>10.843788229755001</c:v>
                </c:pt>
                <c:pt idx="8">
                  <c:v>11.050216290514834</c:v>
                </c:pt>
              </c:numCache>
            </c:numRef>
          </c:val>
          <c:smooth val="0"/>
        </c:ser>
        <c:dLbls>
          <c:showLegendKey val="0"/>
          <c:showVal val="0"/>
          <c:showCatName val="0"/>
          <c:showSerName val="0"/>
          <c:showPercent val="0"/>
          <c:showBubbleSize val="0"/>
        </c:dLbls>
        <c:marker val="1"/>
        <c:smooth val="0"/>
        <c:axId val="239803008"/>
        <c:axId val="239817472"/>
      </c:lineChart>
      <c:catAx>
        <c:axId val="239803008"/>
        <c:scaling>
          <c:orientation val="minMax"/>
        </c:scaling>
        <c:delete val="0"/>
        <c:axPos val="b"/>
        <c:title>
          <c:tx>
            <c:rich>
              <a:bodyPr/>
              <a:lstStyle/>
              <a:p>
                <a:pPr>
                  <a:defRPr/>
                </a:pPr>
                <a:r>
                  <a:rPr lang="en-US"/>
                  <a:t>Improvements in Longevity</a:t>
                </a:r>
              </a:p>
            </c:rich>
          </c:tx>
          <c:overlay val="0"/>
        </c:title>
        <c:majorTickMark val="out"/>
        <c:minorTickMark val="none"/>
        <c:tickLblPos val="nextTo"/>
        <c:crossAx val="239817472"/>
        <c:crosses val="autoZero"/>
        <c:auto val="1"/>
        <c:lblAlgn val="ctr"/>
        <c:lblOffset val="100"/>
        <c:noMultiLvlLbl val="0"/>
      </c:catAx>
      <c:valAx>
        <c:axId val="239817472"/>
        <c:scaling>
          <c:orientation val="minMax"/>
        </c:scaling>
        <c:delete val="0"/>
        <c:axPos val="l"/>
        <c:majorGridlines/>
        <c:title>
          <c:tx>
            <c:rich>
              <a:bodyPr rot="-5400000" vert="horz"/>
              <a:lstStyle/>
              <a:p>
                <a:pPr>
                  <a:defRPr/>
                </a:pPr>
                <a:r>
                  <a:rPr lang="en-US"/>
                  <a:t>PV</a:t>
                </a:r>
              </a:p>
            </c:rich>
          </c:tx>
          <c:overlay val="0"/>
        </c:title>
        <c:numFmt formatCode="0.0" sourceLinked="0"/>
        <c:majorTickMark val="out"/>
        <c:minorTickMark val="none"/>
        <c:tickLblPos val="nextTo"/>
        <c:crossAx val="23980300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Cash-flows for an annuity aged 65</a:t>
            </a:r>
          </a:p>
        </c:rich>
      </c:tx>
      <c:overlay val="0"/>
    </c:title>
    <c:autoTitleDeleted val="0"/>
    <c:plotArea>
      <c:layout/>
      <c:lineChart>
        <c:grouping val="standard"/>
        <c:varyColors val="0"/>
        <c:ser>
          <c:idx val="0"/>
          <c:order val="0"/>
          <c:tx>
            <c:strRef>
              <c:f>Sheet1!$K$5</c:f>
              <c:strCache>
                <c:ptCount val="1"/>
                <c:pt idx="0">
                  <c:v>No Improve</c:v>
                </c:pt>
              </c:strCache>
            </c:strRef>
          </c:tx>
          <c:marker>
            <c:symbol val="none"/>
          </c:marker>
          <c:val>
            <c:numRef>
              <c:f>Sheet1!$K$6:$K$60</c:f>
              <c:numCache>
                <c:formatCode>General</c:formatCode>
                <c:ptCount val="55"/>
                <c:pt idx="0">
                  <c:v>1</c:v>
                </c:pt>
                <c:pt idx="1">
                  <c:v>0.92414150943396212</c:v>
                </c:pt>
                <c:pt idx="2">
                  <c:v>0.85192682512459983</c:v>
                </c:pt>
                <c:pt idx="3">
                  <c:v>0.78319481554174053</c:v>
                </c:pt>
                <c:pt idx="4">
                  <c:v>0.71780839252647499</c:v>
                </c:pt>
                <c:pt idx="5">
                  <c:v>0.65565431186642742</c:v>
                </c:pt>
                <c:pt idx="6">
                  <c:v>0.59664233108943032</c:v>
                </c:pt>
                <c:pt idx="7">
                  <c:v>0.54070260958880723</c:v>
                </c:pt>
                <c:pt idx="8">
                  <c:v>0.48778465730451243</c:v>
                </c:pt>
                <c:pt idx="9">
                  <c:v>0.43785483571314054</c:v>
                </c:pt>
                <c:pt idx="10">
                  <c:v>0.39089407844170648</c:v>
                </c:pt>
                <c:pt idx="11">
                  <c:v>0.34689268085711755</c:v>
                </c:pt>
                <c:pt idx="12">
                  <c:v>0.30584807705230665</c:v>
                </c:pt>
                <c:pt idx="13">
                  <c:v>0.26775931563018934</c:v>
                </c:pt>
                <c:pt idx="14">
                  <c:v>0.2326227257381818</c:v>
                </c:pt>
                <c:pt idx="15">
                  <c:v>0.2004268626744109</c:v>
                </c:pt>
                <c:pt idx="16">
                  <c:v>0.17114752334881417</c:v>
                </c:pt>
                <c:pt idx="17">
                  <c:v>0.14474349699428446</c:v>
                </c:pt>
                <c:pt idx="18">
                  <c:v>0.12115262834218669</c:v>
                </c:pt>
                <c:pt idx="19">
                  <c:v>0.10028877420247338</c:v>
                </c:pt>
                <c:pt idx="20">
                  <c:v>8.2040664064026533E-2</c:v>
                </c:pt>
                <c:pt idx="21">
                  <c:v>6.6271364874980088E-2</c:v>
                </c:pt>
                <c:pt idx="22">
                  <c:v>5.2820090889869893E-2</c:v>
                </c:pt>
                <c:pt idx="23">
                  <c:v>4.1504881324947986E-2</c:v>
                </c:pt>
                <c:pt idx="24">
                  <c:v>3.2127284100608618E-2</c:v>
                </c:pt>
                <c:pt idx="25">
                  <c:v>2.4477595903702191E-2</c:v>
                </c:pt>
                <c:pt idx="26">
                  <c:v>1.8341293531360124E-2</c:v>
                </c:pt>
                <c:pt idx="27">
                  <c:v>1.3505386551424655E-2</c:v>
                </c:pt>
                <c:pt idx="28">
                  <c:v>9.7645983315713721E-3</c:v>
                </c:pt>
                <c:pt idx="29">
                  <c:v>6.9263243769105663E-3</c:v>
                </c:pt>
                <c:pt idx="30">
                  <c:v>4.8144880743905315E-3</c:v>
                </c:pt>
                <c:pt idx="31">
                  <c:v>3.2752008556403696E-3</c:v>
                </c:pt>
                <c:pt idx="32">
                  <c:v>2.1775914443635715E-3</c:v>
                </c:pt>
                <c:pt idx="33">
                  <c:v>1.4130103276058029E-3</c:v>
                </c:pt>
                <c:pt idx="34">
                  <c:v>8.9349308614653259E-4</c:v>
                </c:pt>
                <c:pt idx="35">
                  <c:v>5.4970223413752068E-4</c:v>
                </c:pt>
                <c:pt idx="36">
                  <c:v>3.2849790642447576E-4</c:v>
                </c:pt>
                <c:pt idx="37">
                  <c:v>1.9034811187766245E-4</c:v>
                </c:pt>
                <c:pt idx="38">
                  <c:v>1.0675296749908742E-4</c:v>
                </c:pt>
                <c:pt idx="39">
                  <c:v>5.783523292887123E-5</c:v>
                </c:pt>
                <c:pt idx="40">
                  <c:v>3.0207287597208947E-5</c:v>
                </c:pt>
                <c:pt idx="41">
                  <c:v>1.5178221602040216E-5</c:v>
                </c:pt>
                <c:pt idx="42">
                  <c:v>7.3208572128195212E-6</c:v>
                </c:pt>
                <c:pt idx="43">
                  <c:v>3.3816697018589857E-6</c:v>
                </c:pt>
                <c:pt idx="44">
                  <c:v>1.492381883501342E-6</c:v>
                </c:pt>
                <c:pt idx="45">
                  <c:v>6.276437276254856E-7</c:v>
                </c:pt>
                <c:pt idx="46">
                  <c:v>2.508928826008736E-7</c:v>
                </c:pt>
                <c:pt idx="47">
                  <c:v>9.5063076526072397E-8</c:v>
                </c:pt>
                <c:pt idx="48">
                  <c:v>3.4044060711235152E-8</c:v>
                </c:pt>
                <c:pt idx="49">
                  <c:v>1.1488971212966486E-8</c:v>
                </c:pt>
                <c:pt idx="50">
                  <c:v>3.6423723886813556E-9</c:v>
                </c:pt>
                <c:pt idx="51">
                  <c:v>1.081303531387027E-9</c:v>
                </c:pt>
                <c:pt idx="52">
                  <c:v>2.9958126395680222E-10</c:v>
                </c:pt>
                <c:pt idx="53">
                  <c:v>7.7191917263646872E-11</c:v>
                </c:pt>
                <c:pt idx="54">
                  <c:v>1.8430953875401348E-11</c:v>
                </c:pt>
              </c:numCache>
            </c:numRef>
          </c:val>
          <c:smooth val="0"/>
        </c:ser>
        <c:ser>
          <c:idx val="1"/>
          <c:order val="1"/>
          <c:tx>
            <c:strRef>
              <c:f>Sheet1!$L$5</c:f>
              <c:strCache>
                <c:ptCount val="1"/>
                <c:pt idx="0">
                  <c:v>1% Improve</c:v>
                </c:pt>
              </c:strCache>
            </c:strRef>
          </c:tx>
          <c:marker>
            <c:symbol val="none"/>
          </c:marker>
          <c:val>
            <c:numRef>
              <c:f>Sheet1!$L$6:$L$60</c:f>
              <c:numCache>
                <c:formatCode>General</c:formatCode>
                <c:ptCount val="55"/>
                <c:pt idx="0">
                  <c:v>1</c:v>
                </c:pt>
                <c:pt idx="1">
                  <c:v>0.9243340566037741</c:v>
                </c:pt>
                <c:pt idx="2">
                  <c:v>0.85250051398801374</c:v>
                </c:pt>
                <c:pt idx="3">
                  <c:v>0.78433179005360654</c:v>
                </c:pt>
                <c:pt idx="4">
                  <c:v>0.71968128594186009</c:v>
                </c:pt>
                <c:pt idx="5">
                  <c:v>0.658422647831302</c:v>
                </c:pt>
                <c:pt idx="6">
                  <c:v>0.60044846866148682</c:v>
                </c:pt>
                <c:pt idx="7">
                  <c:v>0.54566744219514063</c:v>
                </c:pt>
                <c:pt idx="8">
                  <c:v>0.49400314650749261</c:v>
                </c:pt>
                <c:pt idx="9">
                  <c:v>0.44539164604375731</c:v>
                </c:pt>
                <c:pt idx="10">
                  <c:v>0.39977952436674408</c:v>
                </c:pt>
                <c:pt idx="11">
                  <c:v>0.35711947929587362</c:v>
                </c:pt>
                <c:pt idx="12">
                  <c:v>0.31736894860232462</c:v>
                </c:pt>
                <c:pt idx="13">
                  <c:v>0.28048598920449919</c:v>
                </c:pt>
                <c:pt idx="14">
                  <c:v>0.24642650771642458</c:v>
                </c:pt>
                <c:pt idx="15">
                  <c:v>0.2151410492088181</c:v>
                </c:pt>
                <c:pt idx="16">
                  <c:v>0.18657178538176342</c:v>
                </c:pt>
                <c:pt idx="17">
                  <c:v>0.16065019894012697</c:v>
                </c:pt>
                <c:pt idx="18">
                  <c:v>0.13729495254272792</c:v>
                </c:pt>
                <c:pt idx="19">
                  <c:v>0.11641031686896169</c:v>
                </c:pt>
                <c:pt idx="20">
                  <c:v>9.788594879926249E-2</c:v>
                </c:pt>
                <c:pt idx="21">
                  <c:v>8.1596697995039172E-2</c:v>
                </c:pt>
                <c:pt idx="22">
                  <c:v>6.7403969443340414E-2</c:v>
                </c:pt>
                <c:pt idx="23">
                  <c:v>5.5157233724978307E-2</c:v>
                </c:pt>
                <c:pt idx="24">
                  <c:v>4.469681610623813E-2</c:v>
                </c:pt>
                <c:pt idx="25">
                  <c:v>3.5856687955888075E-2</c:v>
                </c:pt>
                <c:pt idx="26">
                  <c:v>2.8468095488242331E-2</c:v>
                </c:pt>
                <c:pt idx="27">
                  <c:v>2.236301831486158E-2</c:v>
                </c:pt>
                <c:pt idx="28">
                  <c:v>1.7377638144766061E-2</c:v>
                </c:pt>
                <c:pt idx="29">
                  <c:v>1.3354864618923046E-2</c:v>
                </c:pt>
                <c:pt idx="30">
                  <c:v>1.0146110194401018E-2</c:v>
                </c:pt>
                <c:pt idx="31">
                  <c:v>7.6168418362953906E-3</c:v>
                </c:pt>
                <c:pt idx="32">
                  <c:v>5.6476757441583387E-3</c:v>
                </c:pt>
                <c:pt idx="33">
                  <c:v>4.1341992497208211E-3</c:v>
                </c:pt>
                <c:pt idx="34">
                  <c:v>2.9864184543951029E-3</c:v>
                </c:pt>
                <c:pt idx="35">
                  <c:v>2.1279642759410773E-3</c:v>
                </c:pt>
                <c:pt idx="36">
                  <c:v>1.4950521766644231E-3</c:v>
                </c:pt>
                <c:pt idx="37">
                  <c:v>1.0352845117698448E-3</c:v>
                </c:pt>
                <c:pt idx="38">
                  <c:v>7.0634772513359474E-4</c:v>
                </c:pt>
                <c:pt idx="39">
                  <c:v>4.7466826953704891E-4</c:v>
                </c:pt>
                <c:pt idx="40">
                  <c:v>3.1408519919973605E-4</c:v>
                </c:pt>
                <c:pt idx="41">
                  <c:v>2.045881749101369E-4</c:v>
                </c:pt>
                <c:pt idx="42">
                  <c:v>1.3115975083877749E-4</c:v>
                </c:pt>
                <c:pt idx="43">
                  <c:v>8.2744811946796153E-5</c:v>
                </c:pt>
                <c:pt idx="44">
                  <c:v>5.1364095691341534E-5</c:v>
                </c:pt>
                <c:pt idx="45">
                  <c:v>3.1372092949134999E-5</c:v>
                </c:pt>
                <c:pt idx="46">
                  <c:v>1.8854228236940055E-5</c:v>
                </c:pt>
                <c:pt idx="47">
                  <c:v>1.1150728177358824E-5</c:v>
                </c:pt>
                <c:pt idx="48">
                  <c:v>6.4909665255823476E-6</c:v>
                </c:pt>
                <c:pt idx="49">
                  <c:v>3.720014810880919E-6</c:v>
                </c:pt>
                <c:pt idx="50">
                  <c:v>2.0997330271525714E-6</c:v>
                </c:pt>
                <c:pt idx="51">
                  <c:v>1.1677753768893999E-6</c:v>
                </c:pt>
                <c:pt idx="52">
                  <c:v>6.4026628247903484E-7</c:v>
                </c:pt>
                <c:pt idx="53">
                  <c:v>3.4628634341425659E-7</c:v>
                </c:pt>
                <c:pt idx="54">
                  <c:v>1.8487878919417619E-7</c:v>
                </c:pt>
              </c:numCache>
            </c:numRef>
          </c:val>
          <c:smooth val="0"/>
        </c:ser>
        <c:dLbls>
          <c:showLegendKey val="0"/>
          <c:showVal val="0"/>
          <c:showCatName val="0"/>
          <c:showSerName val="0"/>
          <c:showPercent val="0"/>
          <c:showBubbleSize val="0"/>
        </c:dLbls>
        <c:marker val="1"/>
        <c:smooth val="0"/>
        <c:axId val="239842816"/>
        <c:axId val="239844736"/>
      </c:lineChart>
      <c:catAx>
        <c:axId val="239842816"/>
        <c:scaling>
          <c:orientation val="minMax"/>
        </c:scaling>
        <c:delete val="0"/>
        <c:axPos val="b"/>
        <c:title>
          <c:tx>
            <c:rich>
              <a:bodyPr/>
              <a:lstStyle/>
              <a:p>
                <a:pPr>
                  <a:defRPr/>
                </a:pPr>
                <a:r>
                  <a:rPr lang="en-US"/>
                  <a:t>Term in years</a:t>
                </a:r>
              </a:p>
            </c:rich>
          </c:tx>
          <c:overlay val="0"/>
        </c:title>
        <c:majorTickMark val="out"/>
        <c:minorTickMark val="none"/>
        <c:tickLblPos val="nextTo"/>
        <c:crossAx val="239844736"/>
        <c:crosses val="autoZero"/>
        <c:auto val="1"/>
        <c:lblAlgn val="ctr"/>
        <c:lblOffset val="100"/>
        <c:noMultiLvlLbl val="0"/>
      </c:catAx>
      <c:valAx>
        <c:axId val="239844736"/>
        <c:scaling>
          <c:orientation val="minMax"/>
        </c:scaling>
        <c:delete val="0"/>
        <c:axPos val="l"/>
        <c:majorGridlines/>
        <c:title>
          <c:tx>
            <c:rich>
              <a:bodyPr rot="-5400000" vert="horz"/>
              <a:lstStyle/>
              <a:p>
                <a:pPr>
                  <a:defRPr/>
                </a:pPr>
                <a:r>
                  <a:rPr lang="en-US"/>
                  <a:t>Cash-flows</a:t>
                </a:r>
              </a:p>
            </c:rich>
          </c:tx>
          <c:overlay val="0"/>
        </c:title>
        <c:numFmt formatCode="General" sourceLinked="1"/>
        <c:majorTickMark val="out"/>
        <c:minorTickMark val="none"/>
        <c:tickLblPos val="nextTo"/>
        <c:crossAx val="23984281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Cash-flows for an assurance for a life aged 25</a:t>
            </a:r>
          </a:p>
        </c:rich>
      </c:tx>
      <c:overlay val="0"/>
    </c:title>
    <c:autoTitleDeleted val="0"/>
    <c:plotArea>
      <c:layout/>
      <c:lineChart>
        <c:grouping val="standard"/>
        <c:varyColors val="0"/>
        <c:ser>
          <c:idx val="0"/>
          <c:order val="0"/>
          <c:tx>
            <c:strRef>
              <c:f>Sheet1!$F$5</c:f>
              <c:strCache>
                <c:ptCount val="1"/>
                <c:pt idx="0">
                  <c:v>No Improve</c:v>
                </c:pt>
              </c:strCache>
            </c:strRef>
          </c:tx>
          <c:marker>
            <c:symbol val="none"/>
          </c:marker>
          <c:cat>
            <c:numRef>
              <c:f>Sheet1!$E$6:$E$100</c:f>
              <c:numCache>
                <c:formatCode>General</c:formatCode>
                <c:ptCount val="9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numCache>
            </c:numRef>
          </c:cat>
          <c:val>
            <c:numRef>
              <c:f>Sheet1!$F$6:$F$100</c:f>
              <c:numCache>
                <c:formatCode>General</c:formatCode>
                <c:ptCount val="95"/>
                <c:pt idx="0">
                  <c:v>5.3773584905660412E-4</c:v>
                </c:pt>
                <c:pt idx="1">
                  <c:v>4.9633494126023574E-4</c:v>
                </c:pt>
                <c:pt idx="2">
                  <c:v>4.6378587012028423E-4</c:v>
                </c:pt>
                <c:pt idx="3">
                  <c:v>4.380826464224226E-4</c:v>
                </c:pt>
                <c:pt idx="4">
                  <c:v>4.1976686036754876E-4</c:v>
                </c:pt>
                <c:pt idx="5">
                  <c:v>4.0773435494251454E-4</c:v>
                </c:pt>
                <c:pt idx="6">
                  <c:v>4.0232792207726959E-4</c:v>
                </c:pt>
                <c:pt idx="7">
                  <c:v>4.0244616053961355E-4</c:v>
                </c:pt>
                <c:pt idx="8">
                  <c:v>4.0770156124291022E-4</c:v>
                </c:pt>
                <c:pt idx="9">
                  <c:v>4.1768378869754398E-4</c:v>
                </c:pt>
                <c:pt idx="10">
                  <c:v>4.324911736544739E-4</c:v>
                </c:pt>
                <c:pt idx="11">
                  <c:v>4.5110605492914527E-4</c:v>
                </c:pt>
                <c:pt idx="12">
                  <c:v>4.7402762595562112E-4</c:v>
                </c:pt>
                <c:pt idx="13">
                  <c:v>5.0022624775422251E-4</c:v>
                </c:pt>
                <c:pt idx="14">
                  <c:v>5.3003653958287275E-4</c:v>
                </c:pt>
                <c:pt idx="15">
                  <c:v>5.6283879388516103E-4</c:v>
                </c:pt>
                <c:pt idx="16">
                  <c:v>5.9841376608887192E-4</c:v>
                </c:pt>
                <c:pt idx="17">
                  <c:v>6.3683529498063636E-4</c:v>
                </c:pt>
                <c:pt idx="18">
                  <c:v>6.7772963969421835E-4</c:v>
                </c:pt>
                <c:pt idx="19">
                  <c:v>7.2100420381686142E-4</c:v>
                </c:pt>
                <c:pt idx="20">
                  <c:v>7.6647622301761803E-4</c:v>
                </c:pt>
                <c:pt idx="21">
                  <c:v>8.1415998758049694E-4</c:v>
                </c:pt>
                <c:pt idx="22">
                  <c:v>8.6343443052437033E-4</c:v>
                </c:pt>
                <c:pt idx="23">
                  <c:v>9.1417708845579126E-4</c:v>
                </c:pt>
                <c:pt idx="24">
                  <c:v>9.6662010572646693E-4</c:v>
                </c:pt>
                <c:pt idx="25">
                  <c:v>1.0203817138771268E-3</c:v>
                </c:pt>
                <c:pt idx="26">
                  <c:v>1.0750239467586355E-3</c:v>
                </c:pt>
                <c:pt idx="27">
                  <c:v>1.1308106803627903E-3</c:v>
                </c:pt>
                <c:pt idx="28">
                  <c:v>1.1870827372103463E-3</c:v>
                </c:pt>
                <c:pt idx="29">
                  <c:v>1.2436627678973269E-3</c:v>
                </c:pt>
                <c:pt idx="30">
                  <c:v>1.3005488726696001E-3</c:v>
                </c:pt>
                <c:pt idx="31">
                  <c:v>1.357261345748931E-3</c:v>
                </c:pt>
                <c:pt idx="32">
                  <c:v>1.4135056530660427E-3</c:v>
                </c:pt>
                <c:pt idx="33">
                  <c:v>1.4689732122545132E-3</c:v>
                </c:pt>
                <c:pt idx="34">
                  <c:v>1.5232062279666261E-3</c:v>
                </c:pt>
                <c:pt idx="35">
                  <c:v>1.5758425478359873E-3</c:v>
                </c:pt>
                <c:pt idx="36">
                  <c:v>1.6264608685274847E-3</c:v>
                </c:pt>
                <c:pt idx="37">
                  <c:v>1.6744808158835262E-3</c:v>
                </c:pt>
                <c:pt idx="38">
                  <c:v>1.7193703391385484E-3</c:v>
                </c:pt>
                <c:pt idx="39">
                  <c:v>1.7606091417782452E-3</c:v>
                </c:pt>
                <c:pt idx="40">
                  <c:v>1.7975866893777143E-3</c:v>
                </c:pt>
                <c:pt idx="41">
                  <c:v>1.8295457081252281E-3</c:v>
                </c:pt>
                <c:pt idx="42">
                  <c:v>1.8558779201367326E-3</c:v>
                </c:pt>
                <c:pt idx="43">
                  <c:v>1.8758831784091673E-3</c:v>
                </c:pt>
                <c:pt idx="44">
                  <c:v>1.8887456785101548E-3</c:v>
                </c:pt>
                <c:pt idx="45">
                  <c:v>1.8938773303311281E-3</c:v>
                </c:pt>
                <c:pt idx="46">
                  <c:v>1.8904844146650677E-3</c:v>
                </c:pt>
                <c:pt idx="47">
                  <c:v>1.8779197150779899E-3</c:v>
                </c:pt>
                <c:pt idx="48">
                  <c:v>1.8556618572301599E-3</c:v>
                </c:pt>
                <c:pt idx="49">
                  <c:v>1.8231522722977325E-3</c:v>
                </c:pt>
                <c:pt idx="50">
                  <c:v>1.7800631109029183E-3</c:v>
                </c:pt>
                <c:pt idx="51">
                  <c:v>1.7262332662185105E-3</c:v>
                </c:pt>
                <c:pt idx="52">
                  <c:v>1.6616564134580068E-3</c:v>
                </c:pt>
                <c:pt idx="53">
                  <c:v>1.586358698902909E-3</c:v>
                </c:pt>
                <c:pt idx="54">
                  <c:v>1.5001632363678323E-3</c:v>
                </c:pt>
                <c:pt idx="55">
                  <c:v>1.4040329111465898E-3</c:v>
                </c:pt>
                <c:pt idx="56">
                  <c:v>1.2994802765551327E-3</c:v>
                </c:pt>
                <c:pt idx="57">
                  <c:v>1.18837197429142E-3</c:v>
                </c:pt>
                <c:pt idx="58">
                  <c:v>1.0728230344171209E-3</c:v>
                </c:pt>
                <c:pt idx="59">
                  <c:v>9.5514780966803135E-4</c:v>
                </c:pt>
                <c:pt idx="60">
                  <c:v>8.3775786936895113E-4</c:v>
                </c:pt>
                <c:pt idx="61">
                  <c:v>7.2307728109532131E-4</c:v>
                </c:pt>
                <c:pt idx="62">
                  <c:v>6.1339193013334743E-4</c:v>
                </c:pt>
                <c:pt idx="63">
                  <c:v>5.1076469558537329E-4</c:v>
                </c:pt>
                <c:pt idx="64">
                  <c:v>4.1689953943468679E-4</c:v>
                </c:pt>
                <c:pt idx="65">
                  <c:v>3.3306558348611913E-4</c:v>
                </c:pt>
                <c:pt idx="66">
                  <c:v>2.4781298649743141E-4</c:v>
                </c:pt>
                <c:pt idx="67">
                  <c:v>1.828722012078192E-4</c:v>
                </c:pt>
                <c:pt idx="68">
                  <c:v>1.3384059154231525E-4</c:v>
                </c:pt>
                <c:pt idx="69">
                  <c:v>1.0194509301637688E-4</c:v>
                </c:pt>
                <c:pt idx="70">
                  <c:v>7.5622979539123644E-5</c:v>
                </c:pt>
                <c:pt idx="71">
                  <c:v>5.4529024673366478E-5</c:v>
                </c:pt>
                <c:pt idx="72">
                  <c:v>3.8143654445303238E-5</c:v>
                </c:pt>
                <c:pt idx="73">
                  <c:v>2.5829595276768548E-5</c:v>
                </c:pt>
                <c:pt idx="74">
                  <c:v>1.6894378623140108E-5</c:v>
                </c:pt>
                <c:pt idx="75">
                  <c:v>1.0647957538870981E-5</c:v>
                </c:pt>
                <c:pt idx="76">
                  <c:v>6.4507303405074891E-6</c:v>
                </c:pt>
                <c:pt idx="77">
                  <c:v>3.7465079303273281E-6</c:v>
                </c:pt>
                <c:pt idx="78">
                  <c:v>2.0802629406282592E-6</c:v>
                </c:pt>
                <c:pt idx="79">
                  <c:v>1.1010800786090244E-6</c:v>
                </c:pt>
                <c:pt idx="80">
                  <c:v>5.5385921733934043E-7</c:v>
                </c:pt>
                <c:pt idx="81">
                  <c:v>2.639180964158724E-7</c:v>
                </c:pt>
                <c:pt idx="82">
                  <c:v>1.1873213232637226E-7</c:v>
                </c:pt>
                <c:pt idx="83">
                  <c:v>5.0254032523799019E-8</c:v>
                </c:pt>
                <c:pt idx="84">
                  <c:v>1.9937932277274301E-8</c:v>
                </c:pt>
                <c:pt idx="85">
                  <c:v>7.3863677937361638E-9</c:v>
                </c:pt>
                <c:pt idx="86">
                  <c:v>2.5449928295624644E-9</c:v>
                </c:pt>
                <c:pt idx="87">
                  <c:v>8.1215191475817445E-10</c:v>
                </c:pt>
                <c:pt idx="88">
                  <c:v>2.3900333954574595E-10</c:v>
                </c:pt>
                <c:pt idx="89">
                  <c:v>6.4569922427226841E-11</c:v>
                </c:pt>
                <c:pt idx="90">
                  <c:v>1.5940113720834479E-11</c:v>
                </c:pt>
                <c:pt idx="91">
                  <c:v>3.578364279408185E-12</c:v>
                </c:pt>
                <c:pt idx="92">
                  <c:v>7.26839901059103E-13</c:v>
                </c:pt>
                <c:pt idx="93">
                  <c:v>1.3289337217212511E-13</c:v>
                </c:pt>
                <c:pt idx="94">
                  <c:v>2.1755227338344315E-14</c:v>
                </c:pt>
              </c:numCache>
            </c:numRef>
          </c:val>
          <c:smooth val="0"/>
        </c:ser>
        <c:ser>
          <c:idx val="1"/>
          <c:order val="1"/>
          <c:tx>
            <c:strRef>
              <c:f>Sheet1!$G$5</c:f>
              <c:strCache>
                <c:ptCount val="1"/>
                <c:pt idx="0">
                  <c:v>1% Improve</c:v>
                </c:pt>
              </c:strCache>
            </c:strRef>
          </c:tx>
          <c:marker>
            <c:symbol val="none"/>
          </c:marker>
          <c:cat>
            <c:numRef>
              <c:f>Sheet1!$E$6:$E$100</c:f>
              <c:numCache>
                <c:formatCode>General</c:formatCode>
                <c:ptCount val="9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numCache>
            </c:numRef>
          </c:cat>
          <c:val>
            <c:numRef>
              <c:f>Sheet1!$G$6:$G$100</c:f>
              <c:numCache>
                <c:formatCode>General</c:formatCode>
                <c:ptCount val="95"/>
                <c:pt idx="0">
                  <c:v>5.323584905660378E-4</c:v>
                </c:pt>
                <c:pt idx="1">
                  <c:v>4.864606503204523E-4</c:v>
                </c:pt>
                <c:pt idx="2">
                  <c:v>4.5001853234743984E-4</c:v>
                </c:pt>
                <c:pt idx="3">
                  <c:v>4.2083443352847845E-4</c:v>
                </c:pt>
                <c:pt idx="4">
                  <c:v>3.9921609923761225E-4</c:v>
                </c:pt>
                <c:pt idx="5">
                  <c:v>3.8390554778374206E-4</c:v>
                </c:pt>
                <c:pt idx="6">
                  <c:v>3.7503966320718819E-4</c:v>
                </c:pt>
                <c:pt idx="7">
                  <c:v>3.7141370762705414E-4</c:v>
                </c:pt>
                <c:pt idx="8">
                  <c:v>3.7251977272206144E-4</c:v>
                </c:pt>
                <c:pt idx="9">
                  <c:v>3.7784682478981147E-4</c:v>
                </c:pt>
                <c:pt idx="10">
                  <c:v>3.8735739454156805E-4</c:v>
                </c:pt>
                <c:pt idx="11">
                  <c:v>4.0002398104741843E-4</c:v>
                </c:pt>
                <c:pt idx="12">
                  <c:v>4.1618972732634382E-4</c:v>
                </c:pt>
                <c:pt idx="13">
                  <c:v>4.3485415991155278E-4</c:v>
                </c:pt>
                <c:pt idx="14">
                  <c:v>4.5622939877403728E-4</c:v>
                </c:pt>
                <c:pt idx="15">
                  <c:v>4.7970555112018359E-4</c:v>
                </c:pt>
                <c:pt idx="16">
                  <c:v>5.0503432781631513E-4</c:v>
                </c:pt>
                <c:pt idx="17">
                  <c:v>5.3222237335881321E-4</c:v>
                </c:pt>
                <c:pt idx="18">
                  <c:v>5.6090644292406235E-4</c:v>
                </c:pt>
                <c:pt idx="19">
                  <c:v>5.9096882326786944E-4</c:v>
                </c:pt>
                <c:pt idx="20">
                  <c:v>6.2222476535969684E-4</c:v>
                </c:pt>
                <c:pt idx="21">
                  <c:v>6.5465711481640031E-4</c:v>
                </c:pt>
                <c:pt idx="22">
                  <c:v>6.8774605356925421E-4</c:v>
                </c:pt>
                <c:pt idx="23">
                  <c:v>7.2138762912142399E-4</c:v>
                </c:pt>
                <c:pt idx="24">
                  <c:v>7.5576277772733825E-4</c:v>
                </c:pt>
                <c:pt idx="25">
                  <c:v>7.905749819878059E-4</c:v>
                </c:pt>
                <c:pt idx="26">
                  <c:v>8.2550035508048743E-4</c:v>
                </c:pt>
                <c:pt idx="27">
                  <c:v>8.6076634965549933E-4</c:v>
                </c:pt>
                <c:pt idx="28">
                  <c:v>8.9590319977411693E-4</c:v>
                </c:pt>
                <c:pt idx="29">
                  <c:v>9.3082476343664758E-4</c:v>
                </c:pt>
                <c:pt idx="30">
                  <c:v>9.655863630441703E-4</c:v>
                </c:pt>
                <c:pt idx="31">
                  <c:v>9.9989937052183246E-4</c:v>
                </c:pt>
                <c:pt idx="32">
                  <c:v>1.0336294468415946E-3</c:v>
                </c:pt>
                <c:pt idx="33">
                  <c:v>1.0666471476944144E-3</c:v>
                </c:pt>
                <c:pt idx="34">
                  <c:v>1.0987311099975217E-3</c:v>
                </c:pt>
                <c:pt idx="35">
                  <c:v>1.1297468475949665E-3</c:v>
                </c:pt>
                <c:pt idx="36">
                  <c:v>1.1595344395422958E-3</c:v>
                </c:pt>
                <c:pt idx="37">
                  <c:v>1.1878386611971375E-3</c:v>
                </c:pt>
                <c:pt idx="38">
                  <c:v>1.2144570598788941E-3</c:v>
                </c:pt>
                <c:pt idx="39">
                  <c:v>1.2392124369436867E-3</c:v>
                </c:pt>
                <c:pt idx="40">
                  <c:v>1.2618799253939139E-3</c:v>
                </c:pt>
                <c:pt idx="41">
                  <c:v>1.2821459639212023E-3</c:v>
                </c:pt>
                <c:pt idx="42">
                  <c:v>1.2998120400294559E-3</c:v>
                </c:pt>
                <c:pt idx="43">
                  <c:v>1.3146222460340021E-3</c:v>
                </c:pt>
                <c:pt idx="44">
                  <c:v>1.3262407766484114E-3</c:v>
                </c:pt>
                <c:pt idx="45">
                  <c:v>1.334484390931923E-3</c:v>
                </c:pt>
                <c:pt idx="46">
                  <c:v>1.339011258909588E-3</c:v>
                </c:pt>
                <c:pt idx="47">
                  <c:v>1.3395547656345789E-3</c:v>
                </c:pt>
                <c:pt idx="48">
                  <c:v>1.3358981966514103E-3</c:v>
                </c:pt>
                <c:pt idx="49">
                  <c:v>1.3277440103268213E-3</c:v>
                </c:pt>
                <c:pt idx="50">
                  <c:v>1.3148868289235209E-3</c:v>
                </c:pt>
                <c:pt idx="51">
                  <c:v>1.2971530029857227E-3</c:v>
                </c:pt>
                <c:pt idx="52">
                  <c:v>1.2743733070585018E-3</c:v>
                </c:pt>
                <c:pt idx="53">
                  <c:v>1.2462638986589121E-3</c:v>
                </c:pt>
                <c:pt idx="54">
                  <c:v>1.2121895164003561E-3</c:v>
                </c:pt>
                <c:pt idx="55">
                  <c:v>1.1721777448715162E-3</c:v>
                </c:pt>
                <c:pt idx="56">
                  <c:v>1.1265162687439771E-3</c:v>
                </c:pt>
                <c:pt idx="57">
                  <c:v>1.0756352236216413E-3</c:v>
                </c:pt>
                <c:pt idx="58">
                  <c:v>1.0200607808459358E-3</c:v>
                </c:pt>
                <c:pt idx="59">
                  <c:v>9.6042763287658135E-4</c:v>
                </c:pt>
                <c:pt idx="60">
                  <c:v>8.9745913724951977E-4</c:v>
                </c:pt>
                <c:pt idx="61">
                  <c:v>8.3197640958247861E-4</c:v>
                </c:pt>
                <c:pt idx="62">
                  <c:v>7.6484620232416427E-4</c:v>
                </c:pt>
                <c:pt idx="63">
                  <c:v>6.9699408791649401E-4</c:v>
                </c:pt>
                <c:pt idx="64">
                  <c:v>6.2934912736716333E-4</c:v>
                </c:pt>
                <c:pt idx="65">
                  <c:v>5.6282854192993303E-4</c:v>
                </c:pt>
                <c:pt idx="66">
                  <c:v>4.7488126585365297E-4</c:v>
                </c:pt>
                <c:pt idx="67">
                  <c:v>3.9962099322449072E-4</c:v>
                </c:pt>
                <c:pt idx="68">
                  <c:v>3.354287044681781E-4</c:v>
                </c:pt>
                <c:pt idx="69">
                  <c:v>2.9472020437489195E-4</c:v>
                </c:pt>
                <c:pt idx="70">
                  <c:v>2.5619385659494059E-4</c:v>
                </c:pt>
                <c:pt idx="71">
                  <c:v>2.2023815874574836E-4</c:v>
                </c:pt>
                <c:pt idx="72">
                  <c:v>1.8715734328044424E-4</c:v>
                </c:pt>
                <c:pt idx="73">
                  <c:v>1.571595173355291E-4</c:v>
                </c:pt>
                <c:pt idx="74">
                  <c:v>1.3035650116652544E-4</c:v>
                </c:pt>
                <c:pt idx="75">
                  <c:v>1.0676497450018221E-4</c:v>
                </c:pt>
                <c:pt idx="76">
                  <c:v>8.6316232617545931E-5</c:v>
                </c:pt>
                <c:pt idx="77">
                  <c:v>6.8865136096968533E-5</c:v>
                </c:pt>
                <c:pt idx="78">
                  <c:v>5.4205700490733446E-5</c:v>
                </c:pt>
                <c:pt idx="79">
                  <c:v>4.208661056367475E-5</c:v>
                </c:pt>
                <c:pt idx="80">
                  <c:v>3.2227989476843927E-5</c:v>
                </c:pt>
                <c:pt idx="81">
                  <c:v>2.4337618553416303E-5</c:v>
                </c:pt>
                <c:pt idx="82">
                  <c:v>1.8124651271609553E-5</c:v>
                </c:pt>
                <c:pt idx="83">
                  <c:v>1.3311612051104219E-5</c:v>
                </c:pt>
                <c:pt idx="84">
                  <c:v>9.6430432020874278E-6</c:v>
                </c:pt>
                <c:pt idx="85">
                  <c:v>6.8914066596721828E-6</c:v>
                </c:pt>
                <c:pt idx="86">
                  <c:v>4.8599722591304917E-6</c:v>
                </c:pt>
                <c:pt idx="87">
                  <c:v>3.3833557841379594E-6</c:v>
                </c:pt>
                <c:pt idx="88">
                  <c:v>2.326172878505463E-6</c:v>
                </c:pt>
                <c:pt idx="89">
                  <c:v>1.5803037113269644E-6</c:v>
                </c:pt>
                <c:pt idx="90">
                  <c:v>1.0614563292967269E-6</c:v>
                </c:pt>
                <c:pt idx="91">
                  <c:v>7.0536375355868172E-7</c:v>
                </c:pt>
                <c:pt idx="92">
                  <c:v>4.6407673788083113E-7</c:v>
                </c:pt>
                <c:pt idx="93">
                  <c:v>3.0253030015626681E-7</c:v>
                </c:pt>
                <c:pt idx="94">
                  <c:v>1.9557352794952389E-7</c:v>
                </c:pt>
              </c:numCache>
            </c:numRef>
          </c:val>
          <c:smooth val="0"/>
        </c:ser>
        <c:dLbls>
          <c:showLegendKey val="0"/>
          <c:showVal val="0"/>
          <c:showCatName val="0"/>
          <c:showSerName val="0"/>
          <c:showPercent val="0"/>
          <c:showBubbleSize val="0"/>
        </c:dLbls>
        <c:marker val="1"/>
        <c:smooth val="0"/>
        <c:axId val="239892736"/>
        <c:axId val="239907200"/>
      </c:lineChart>
      <c:catAx>
        <c:axId val="239892736"/>
        <c:scaling>
          <c:orientation val="minMax"/>
        </c:scaling>
        <c:delete val="0"/>
        <c:axPos val="b"/>
        <c:title>
          <c:tx>
            <c:rich>
              <a:bodyPr/>
              <a:lstStyle/>
              <a:p>
                <a:pPr>
                  <a:defRPr/>
                </a:pPr>
                <a:r>
                  <a:rPr lang="en-US"/>
                  <a:t>Term in years</a:t>
                </a:r>
              </a:p>
            </c:rich>
          </c:tx>
          <c:overlay val="0"/>
        </c:title>
        <c:numFmt formatCode="General" sourceLinked="1"/>
        <c:majorTickMark val="out"/>
        <c:minorTickMark val="none"/>
        <c:tickLblPos val="nextTo"/>
        <c:crossAx val="239907200"/>
        <c:crosses val="autoZero"/>
        <c:auto val="1"/>
        <c:lblAlgn val="ctr"/>
        <c:lblOffset val="100"/>
        <c:noMultiLvlLbl val="0"/>
      </c:catAx>
      <c:valAx>
        <c:axId val="239907200"/>
        <c:scaling>
          <c:orientation val="minMax"/>
        </c:scaling>
        <c:delete val="0"/>
        <c:axPos val="l"/>
        <c:majorGridlines/>
        <c:title>
          <c:tx>
            <c:rich>
              <a:bodyPr rot="-5400000" vert="horz"/>
              <a:lstStyle/>
              <a:p>
                <a:pPr>
                  <a:defRPr/>
                </a:pPr>
                <a:r>
                  <a:rPr lang="en-US"/>
                  <a:t>Cash-flows</a:t>
                </a:r>
              </a:p>
            </c:rich>
          </c:tx>
          <c:overlay val="0"/>
        </c:title>
        <c:numFmt formatCode="General" sourceLinked="1"/>
        <c:majorTickMark val="out"/>
        <c:minorTickMark val="none"/>
        <c:tickLblPos val="nextTo"/>
        <c:crossAx val="23989273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Differences in the cash-flows for an annuity and assurance</a:t>
            </a:r>
          </a:p>
        </c:rich>
      </c:tx>
      <c:overlay val="0"/>
    </c:title>
    <c:autoTitleDeleted val="0"/>
    <c:plotArea>
      <c:layout/>
      <c:lineChart>
        <c:grouping val="standard"/>
        <c:varyColors val="0"/>
        <c:ser>
          <c:idx val="0"/>
          <c:order val="0"/>
          <c:tx>
            <c:strRef>
              <c:f>Sheet1!$O$5</c:f>
              <c:strCache>
                <c:ptCount val="1"/>
                <c:pt idx="0">
                  <c:v>Diff Ann</c:v>
                </c:pt>
              </c:strCache>
            </c:strRef>
          </c:tx>
          <c:marker>
            <c:symbol val="none"/>
          </c:marker>
          <c:val>
            <c:numRef>
              <c:f>Sheet1!$O$6:$O$60</c:f>
              <c:numCache>
                <c:formatCode>General</c:formatCode>
                <c:ptCount val="55"/>
                <c:pt idx="0">
                  <c:v>0</c:v>
                </c:pt>
                <c:pt idx="1">
                  <c:v>-11.552830188680678</c:v>
                </c:pt>
                <c:pt idx="2">
                  <c:v>-34.421331804856912</c:v>
                </c:pt>
                <c:pt idx="3">
                  <c:v>-68.218470711981297</c:v>
                </c:pt>
                <c:pt idx="4">
                  <c:v>-112.37360492314474</c:v>
                </c:pt>
                <c:pt idx="5">
                  <c:v>-166.10015789249161</c:v>
                </c:pt>
                <c:pt idx="6">
                  <c:v>-228.36825432336622</c:v>
                </c:pt>
                <c:pt idx="7">
                  <c:v>-297.8899563800187</c:v>
                </c:pt>
                <c:pt idx="8">
                  <c:v>-373.10935217882434</c:v>
                </c:pt>
                <c:pt idx="9">
                  <c:v>-452.20861983703065</c:v>
                </c:pt>
                <c:pt idx="10">
                  <c:v>-533.12675550224594</c:v>
                </c:pt>
                <c:pt idx="11">
                  <c:v>-613.60790632535281</c:v>
                </c:pt>
                <c:pt idx="12">
                  <c:v>-691.25229300108549</c:v>
                </c:pt>
                <c:pt idx="13">
                  <c:v>-763.60041445855859</c:v>
                </c:pt>
                <c:pt idx="14">
                  <c:v>-828.22691869455377</c:v>
                </c:pt>
                <c:pt idx="15">
                  <c:v>-882.85119206443198</c:v>
                </c:pt>
                <c:pt idx="16">
                  <c:v>-925.45572197694673</c:v>
                </c:pt>
                <c:pt idx="17">
                  <c:v>-954.40211675055798</c:v>
                </c:pt>
                <c:pt idx="18">
                  <c:v>-968.53945203246349</c:v>
                </c:pt>
                <c:pt idx="19">
                  <c:v>-967.29255998930421</c:v>
                </c:pt>
                <c:pt idx="20">
                  <c:v>-950.71708411415057</c:v>
                </c:pt>
                <c:pt idx="21">
                  <c:v>-919.51998720353561</c:v>
                </c:pt>
                <c:pt idx="22">
                  <c:v>-875.03271320822932</c:v>
                </c:pt>
                <c:pt idx="23">
                  <c:v>-819.14114400181597</c:v>
                </c:pt>
                <c:pt idx="24">
                  <c:v>-754.17192033776951</c:v>
                </c:pt>
                <c:pt idx="25">
                  <c:v>-682.74552313115339</c:v>
                </c:pt>
                <c:pt idx="26">
                  <c:v>-607.60811741293139</c:v>
                </c:pt>
                <c:pt idx="27">
                  <c:v>-531.45790580621349</c:v>
                </c:pt>
                <c:pt idx="28">
                  <c:v>-456.78238879168094</c:v>
                </c:pt>
                <c:pt idx="29">
                  <c:v>-385.71241452074867</c:v>
                </c:pt>
                <c:pt idx="30">
                  <c:v>-319.89732720062869</c:v>
                </c:pt>
                <c:pt idx="31">
                  <c:v>-260.49845883930141</c:v>
                </c:pt>
                <c:pt idx="32">
                  <c:v>-208.20505798768608</c:v>
                </c:pt>
                <c:pt idx="33">
                  <c:v>-163.27133532690112</c:v>
                </c:pt>
                <c:pt idx="34">
                  <c:v>-125.57552209491428</c:v>
                </c:pt>
                <c:pt idx="35">
                  <c:v>-94.695722508213208</c:v>
                </c:pt>
                <c:pt idx="36">
                  <c:v>-69.993256214396823</c:v>
                </c:pt>
                <c:pt idx="37">
                  <c:v>-50.696183993530937</c:v>
                </c:pt>
                <c:pt idx="38">
                  <c:v>-35.975685458070416</c:v>
                </c:pt>
                <c:pt idx="39">
                  <c:v>-25.009982196490643</c:v>
                </c:pt>
                <c:pt idx="40">
                  <c:v>-17.032674696151606</c:v>
                </c:pt>
                <c:pt idx="41">
                  <c:v>-11.364597198485788</c:v>
                </c:pt>
                <c:pt idx="42">
                  <c:v>-7.4303336175574719</c:v>
                </c:pt>
                <c:pt idx="43">
                  <c:v>-4.7617885346962252</c:v>
                </c:pt>
                <c:pt idx="44">
                  <c:v>-2.9923028284704087</c:v>
                </c:pt>
                <c:pt idx="45">
                  <c:v>-1.8446669532905695</c:v>
                </c:pt>
                <c:pt idx="46">
                  <c:v>-1.1162001212603505</c:v>
                </c:pt>
                <c:pt idx="47">
                  <c:v>-0.66333990604996462</c:v>
                </c:pt>
                <c:pt idx="48">
                  <c:v>-0.38741534789226667</c:v>
                </c:pt>
                <c:pt idx="49">
                  <c:v>-0.22251155038007675</c:v>
                </c:pt>
                <c:pt idx="50">
                  <c:v>-0.12576543928583334</c:v>
                </c:pt>
                <c:pt idx="51">
                  <c:v>-7.0001644401480712E-2</c:v>
                </c:pt>
                <c:pt idx="52">
                  <c:v>-3.8398002072904606E-2</c:v>
                </c:pt>
                <c:pt idx="53">
                  <c:v>-2.0772549089819597E-2</c:v>
                </c:pt>
                <c:pt idx="54">
                  <c:v>-1.1091621494418037E-2</c:v>
                </c:pt>
              </c:numCache>
            </c:numRef>
          </c:val>
          <c:smooth val="0"/>
        </c:ser>
        <c:ser>
          <c:idx val="1"/>
          <c:order val="1"/>
          <c:tx>
            <c:strRef>
              <c:f>Sheet1!$P$5</c:f>
              <c:strCache>
                <c:ptCount val="1"/>
                <c:pt idx="0">
                  <c:v>Sum</c:v>
                </c:pt>
              </c:strCache>
            </c:strRef>
          </c:tx>
          <c:marker>
            <c:symbol val="none"/>
          </c:marker>
          <c:val>
            <c:numRef>
              <c:f>Sheet1!$P$6:$P$100</c:f>
              <c:numCache>
                <c:formatCode>General</c:formatCode>
                <c:ptCount val="95"/>
                <c:pt idx="0">
                  <c:v>7.8357689022748271</c:v>
                </c:pt>
                <c:pt idx="1">
                  <c:v>2.8357700903793557</c:v>
                </c:pt>
                <c:pt idx="2">
                  <c:v>-14.359869029625665</c:v>
                </c:pt>
                <c:pt idx="3">
                  <c:v>-43.084753023027815</c:v>
                </c:pt>
                <c:pt idx="4">
                  <c:v>-82.427486347910417</c:v>
                </c:pt>
                <c:pt idx="5">
                  <c:v>-131.37734251007177</c:v>
                </c:pt>
                <c:pt idx="6">
                  <c:v>-188.60440175029748</c:v>
                </c:pt>
                <c:pt idx="7">
                  <c:v>-252.67014633385111</c:v>
                </c:pt>
                <c:pt idx="8">
                  <c:v>-321.84322125195331</c:v>
                </c:pt>
                <c:pt idx="9">
                  <c:v>-394.15906939383541</c:v>
                </c:pt>
                <c:pt idx="10">
                  <c:v>-467.35880206646402</c:v>
                </c:pt>
                <c:pt idx="11">
                  <c:v>-539.17222815950799</c:v>
                </c:pt>
                <c:pt idx="12">
                  <c:v>-606.97217512400687</c:v>
                </c:pt>
                <c:pt idx="13">
                  <c:v>-668.34164123504411</c:v>
                </c:pt>
                <c:pt idx="14">
                  <c:v>-720.67677121409258</c:v>
                </c:pt>
                <c:pt idx="15">
                  <c:v>-761.7112532736852</c:v>
                </c:pt>
                <c:pt idx="16">
                  <c:v>-789.38525172437221</c:v>
                </c:pt>
                <c:pt idx="17">
                  <c:v>-801.96246083799247</c:v>
                </c:pt>
                <c:pt idx="18">
                  <c:v>-798.30725086494112</c:v>
                </c:pt>
                <c:pt idx="19">
                  <c:v>-777.80785427573551</c:v>
                </c:pt>
                <c:pt idx="20">
                  <c:v>-740.51702250271467</c:v>
                </c:pt>
                <c:pt idx="21">
                  <c:v>-687.09589786281504</c:v>
                </c:pt>
                <c:pt idx="22">
                  <c:v>-619.02346200222939</c:v>
                </c:pt>
                <c:pt idx="23">
                  <c:v>-538.21257046726635</c:v>
                </c:pt>
                <c:pt idx="24">
                  <c:v>-446.91524469470409</c:v>
                </c:pt>
                <c:pt idx="25">
                  <c:v>-347.87619157535335</c:v>
                </c:pt>
                <c:pt idx="26">
                  <c:v>-244.00781003417856</c:v>
                </c:pt>
                <c:pt idx="27">
                  <c:v>-137.95522739931525</c:v>
                </c:pt>
                <c:pt idx="28">
                  <c:v>-32.481950495738808</c:v>
                </c:pt>
                <c:pt idx="29">
                  <c:v>70.148267095194171</c:v>
                </c:pt>
                <c:pt idx="30">
                  <c:v>168.2026982962023</c:v>
                </c:pt>
                <c:pt idx="31">
                  <c:v>260.24157685901565</c:v>
                </c:pt>
                <c:pt idx="32">
                  <c:v>345.34222153065303</c:v>
                </c:pt>
                <c:pt idx="33">
                  <c:v>422.98938558010275</c:v>
                </c:pt>
                <c:pt idx="34">
                  <c:v>492.96031385632455</c:v>
                </c:pt>
                <c:pt idx="35">
                  <c:v>555.34515193219409</c:v>
                </c:pt>
                <c:pt idx="36">
                  <c:v>610.40169947085292</c:v>
                </c:pt>
                <c:pt idx="37">
                  <c:v>658.42809494704352</c:v>
                </c:pt>
                <c:pt idx="38">
                  <c:v>699.77287564482765</c:v>
                </c:pt>
                <c:pt idx="39">
                  <c:v>734.75786528081949</c:v>
                </c:pt>
                <c:pt idx="40">
                  <c:v>763.58747724775992</c:v>
                </c:pt>
                <c:pt idx="41">
                  <c:v>786.2943091720299</c:v>
                </c:pt>
                <c:pt idx="42">
                  <c:v>802.8566759996894</c:v>
                </c:pt>
                <c:pt idx="43">
                  <c:v>813.09533735392165</c:v>
                </c:pt>
                <c:pt idx="44">
                  <c:v>816.67750812390284</c:v>
                </c:pt>
                <c:pt idx="45">
                  <c:v>813.29046052358353</c:v>
                </c:pt>
                <c:pt idx="46">
                  <c:v>802.47839225885093</c:v>
                </c:pt>
                <c:pt idx="47">
                  <c:v>783.83026161304599</c:v>
                </c:pt>
                <c:pt idx="48">
                  <c:v>757.00079584179809</c:v>
                </c:pt>
                <c:pt idx="49">
                  <c:v>721.67554674200358</c:v>
                </c:pt>
                <c:pt idx="50">
                  <c:v>677.7189143983627</c:v>
                </c:pt>
                <c:pt idx="51">
                  <c:v>625.17635102446513</c:v>
                </c:pt>
                <c:pt idx="52">
                  <c:v>564.30205406665152</c:v>
                </c:pt>
                <c:pt idx="53">
                  <c:v>495.55791431966702</c:v>
                </c:pt>
                <c:pt idx="54">
                  <c:v>419.61789974151696</c:v>
                </c:pt>
                <c:pt idx="55">
                  <c:v>337.85426523399764</c:v>
                </c:pt>
                <c:pt idx="56">
                  <c:v>252.03936021695577</c:v>
                </c:pt>
                <c:pt idx="57">
                  <c:v>164.27752149899356</c:v>
                </c:pt>
                <c:pt idx="58">
                  <c:v>76.883999174010341</c:v>
                </c:pt>
                <c:pt idx="59">
                  <c:v>-7.6936426276304264</c:v>
                </c:pt>
                <c:pt idx="60">
                  <c:v>-86.995378698602693</c:v>
                </c:pt>
                <c:pt idx="61">
                  <c:v>-158.68542258834486</c:v>
                </c:pt>
                <c:pt idx="62">
                  <c:v>-220.69584503832175</c:v>
                </c:pt>
                <c:pt idx="63">
                  <c:v>-271.36938771663171</c:v>
                </c:pt>
                <c:pt idx="64">
                  <c:v>-309.5768819101304</c:v>
                </c:pt>
                <c:pt idx="65">
                  <c:v>-334.8055458506704</c:v>
                </c:pt>
                <c:pt idx="66">
                  <c:v>-330.87891856085753</c:v>
                </c:pt>
                <c:pt idx="67">
                  <c:v>-315.84158784829162</c:v>
                </c:pt>
                <c:pt idx="68">
                  <c:v>-293.7497786513523</c:v>
                </c:pt>
                <c:pt idx="69">
                  <c:v>-280.9076659786939</c:v>
                </c:pt>
                <c:pt idx="70">
                  <c:v>-263.12392331155945</c:v>
                </c:pt>
                <c:pt idx="71">
                  <c:v>-241.46771725657774</c:v>
                </c:pt>
                <c:pt idx="72">
                  <c:v>-217.13948047840617</c:v>
                </c:pt>
                <c:pt idx="73">
                  <c:v>-191.37108322080448</c:v>
                </c:pt>
                <c:pt idx="74">
                  <c:v>-165.33451749056979</c:v>
                </c:pt>
                <c:pt idx="75">
                  <c:v>-140.05960990069423</c:v>
                </c:pt>
                <c:pt idx="76">
                  <c:v>-116.37825899182393</c:v>
                </c:pt>
                <c:pt idx="77">
                  <c:v>-94.889437340312753</c:v>
                </c:pt>
                <c:pt idx="78">
                  <c:v>-75.956044829287336</c:v>
                </c:pt>
                <c:pt idx="79">
                  <c:v>-59.723216479158211</c:v>
                </c:pt>
                <c:pt idx="80">
                  <c:v>-46.15484820836307</c:v>
                </c:pt>
                <c:pt idx="81">
                  <c:v>-35.079668527695027</c:v>
                </c:pt>
                <c:pt idx="82">
                  <c:v>-26.237830618136577</c:v>
                </c:pt>
                <c:pt idx="83">
                  <c:v>-19.324160170133503</c:v>
                </c:pt>
                <c:pt idx="84">
                  <c:v>-14.022578027628974</c:v>
                </c:pt>
                <c:pt idx="85">
                  <c:v>-10.031243447942765</c:v>
                </c:pt>
                <c:pt idx="86">
                  <c:v>-7.0781365209549509</c:v>
                </c:pt>
                <c:pt idx="87">
                  <c:v>-4.9289684238947435</c:v>
                </c:pt>
                <c:pt idx="88">
                  <c:v>-3.3892998504278995</c:v>
                </c:pt>
                <c:pt idx="89">
                  <c:v>-2.3026898325820437</c:v>
                </c:pt>
                <c:pt idx="90">
                  <c:v>-1.5467076646963867</c:v>
                </c:pt>
                <c:pt idx="91">
                  <c:v>-1.0278353833741929</c:v>
                </c:pt>
                <c:pt idx="92">
                  <c:v>-0.67624138914783261</c:v>
                </c:pt>
                <c:pt idx="93">
                  <c:v>-0.44084032723454497</c:v>
                </c:pt>
                <c:pt idx="94">
                  <c:v>-0.28498542558296297</c:v>
                </c:pt>
              </c:numCache>
            </c:numRef>
          </c:val>
          <c:smooth val="0"/>
        </c:ser>
        <c:ser>
          <c:idx val="2"/>
          <c:order val="2"/>
          <c:tx>
            <c:strRef>
              <c:f>Sheet1!$Q$5</c:f>
              <c:strCache>
                <c:ptCount val="1"/>
                <c:pt idx="0">
                  <c:v>Diff Assure</c:v>
                </c:pt>
              </c:strCache>
            </c:strRef>
          </c:tx>
          <c:marker>
            <c:symbol val="none"/>
          </c:marker>
          <c:val>
            <c:numRef>
              <c:f>Sheet1!$Q$6:$Q$100</c:f>
              <c:numCache>
                <c:formatCode>General</c:formatCode>
                <c:ptCount val="95"/>
                <c:pt idx="0">
                  <c:v>7.8357689022748271</c:v>
                </c:pt>
                <c:pt idx="1">
                  <c:v>14.388600279060034</c:v>
                </c:pt>
                <c:pt idx="2">
                  <c:v>20.06146277523122</c:v>
                </c:pt>
                <c:pt idx="3">
                  <c:v>25.133717688953539</c:v>
                </c:pt>
                <c:pt idx="4">
                  <c:v>29.946118575234312</c:v>
                </c:pt>
                <c:pt idx="5">
                  <c:v>34.722815382419917</c:v>
                </c:pt>
                <c:pt idx="6">
                  <c:v>39.763852573068789</c:v>
                </c:pt>
                <c:pt idx="7">
                  <c:v>45.219810046167602</c:v>
                </c:pt>
                <c:pt idx="8">
                  <c:v>51.266130926871199</c:v>
                </c:pt>
                <c:pt idx="9">
                  <c:v>58.049550443195699</c:v>
                </c:pt>
                <c:pt idx="10">
                  <c:v>65.767953435782076</c:v>
                </c:pt>
                <c:pt idx="11">
                  <c:v>74.435678165844578</c:v>
                </c:pt>
                <c:pt idx="12">
                  <c:v>84.280117877078609</c:v>
                </c:pt>
                <c:pt idx="13">
                  <c:v>95.258773223514083</c:v>
                </c:pt>
                <c:pt idx="14">
                  <c:v>107.55014748046221</c:v>
                </c:pt>
                <c:pt idx="15">
                  <c:v>121.13993879074745</c:v>
                </c:pt>
                <c:pt idx="16">
                  <c:v>136.07047025257461</c:v>
                </c:pt>
                <c:pt idx="17">
                  <c:v>152.43965591256543</c:v>
                </c:pt>
                <c:pt idx="18">
                  <c:v>170.23220116752168</c:v>
                </c:pt>
                <c:pt idx="19">
                  <c:v>189.48470571356827</c:v>
                </c:pt>
                <c:pt idx="20">
                  <c:v>210.20006161143556</c:v>
                </c:pt>
                <c:pt idx="21">
                  <c:v>232.42408934072054</c:v>
                </c:pt>
                <c:pt idx="22">
                  <c:v>256.00925120599965</c:v>
                </c:pt>
                <c:pt idx="23">
                  <c:v>280.9285735345498</c:v>
                </c:pt>
                <c:pt idx="24">
                  <c:v>307.25667564306536</c:v>
                </c:pt>
                <c:pt idx="25">
                  <c:v>334.86933155580027</c:v>
                </c:pt>
                <c:pt idx="26">
                  <c:v>363.60030737875326</c:v>
                </c:pt>
                <c:pt idx="27">
                  <c:v>393.50267840689889</c:v>
                </c:pt>
                <c:pt idx="28">
                  <c:v>424.30043829594234</c:v>
                </c:pt>
                <c:pt idx="29">
                  <c:v>455.86068161594295</c:v>
                </c:pt>
                <c:pt idx="30">
                  <c:v>488.10002549683139</c:v>
                </c:pt>
                <c:pt idx="31">
                  <c:v>520.74003569831746</c:v>
                </c:pt>
                <c:pt idx="32">
                  <c:v>553.54727951833888</c:v>
                </c:pt>
                <c:pt idx="33">
                  <c:v>586.26072090700404</c:v>
                </c:pt>
                <c:pt idx="34">
                  <c:v>618.53583595123905</c:v>
                </c:pt>
                <c:pt idx="35">
                  <c:v>650.04087444040761</c:v>
                </c:pt>
                <c:pt idx="36">
                  <c:v>680.39495568524956</c:v>
                </c:pt>
                <c:pt idx="37">
                  <c:v>709.12427894057453</c:v>
                </c:pt>
                <c:pt idx="38">
                  <c:v>735.7485611028975</c:v>
                </c:pt>
                <c:pt idx="39">
                  <c:v>759.76784747731051</c:v>
                </c:pt>
                <c:pt idx="40">
                  <c:v>780.6201519439112</c:v>
                </c:pt>
                <c:pt idx="41">
                  <c:v>797.65890637051552</c:v>
                </c:pt>
                <c:pt idx="42">
                  <c:v>810.28700961724746</c:v>
                </c:pt>
                <c:pt idx="43">
                  <c:v>817.85712588861736</c:v>
                </c:pt>
                <c:pt idx="44">
                  <c:v>819.66981095237361</c:v>
                </c:pt>
                <c:pt idx="45">
                  <c:v>815.13512747687378</c:v>
                </c:pt>
                <c:pt idx="46">
                  <c:v>803.5945923801105</c:v>
                </c:pt>
                <c:pt idx="47">
                  <c:v>784.49360151909673</c:v>
                </c:pt>
                <c:pt idx="48">
                  <c:v>757.38821118969008</c:v>
                </c:pt>
                <c:pt idx="49">
                  <c:v>721.89805829238367</c:v>
                </c:pt>
                <c:pt idx="50">
                  <c:v>677.84467983764807</c:v>
                </c:pt>
                <c:pt idx="51">
                  <c:v>625.24635266886696</c:v>
                </c:pt>
                <c:pt idx="52">
                  <c:v>564.34045206872406</c:v>
                </c:pt>
                <c:pt idx="53">
                  <c:v>495.57868686875685</c:v>
                </c:pt>
                <c:pt idx="54">
                  <c:v>419.62899136301161</c:v>
                </c:pt>
                <c:pt idx="55">
                  <c:v>337.85426523399764</c:v>
                </c:pt>
                <c:pt idx="56">
                  <c:v>252.03936021695577</c:v>
                </c:pt>
                <c:pt idx="57">
                  <c:v>164.27752149899356</c:v>
                </c:pt>
                <c:pt idx="58">
                  <c:v>76.883999174010341</c:v>
                </c:pt>
                <c:pt idx="59">
                  <c:v>-7.6936426276304264</c:v>
                </c:pt>
                <c:pt idx="60">
                  <c:v>-86.995378698602693</c:v>
                </c:pt>
                <c:pt idx="61">
                  <c:v>-158.68542258834486</c:v>
                </c:pt>
                <c:pt idx="62">
                  <c:v>-220.69584503832175</c:v>
                </c:pt>
                <c:pt idx="63">
                  <c:v>-271.36938771663171</c:v>
                </c:pt>
                <c:pt idx="64">
                  <c:v>-309.5768819101304</c:v>
                </c:pt>
                <c:pt idx="65">
                  <c:v>-334.8055458506704</c:v>
                </c:pt>
                <c:pt idx="66">
                  <c:v>-330.87891856085753</c:v>
                </c:pt>
                <c:pt idx="67">
                  <c:v>-315.84158784829162</c:v>
                </c:pt>
                <c:pt idx="68">
                  <c:v>-293.7497786513523</c:v>
                </c:pt>
                <c:pt idx="69">
                  <c:v>-280.9076659786939</c:v>
                </c:pt>
                <c:pt idx="70">
                  <c:v>-263.12392331155945</c:v>
                </c:pt>
                <c:pt idx="71">
                  <c:v>-241.46771725657774</c:v>
                </c:pt>
                <c:pt idx="72">
                  <c:v>-217.13948047840617</c:v>
                </c:pt>
                <c:pt idx="73">
                  <c:v>-191.37108322080448</c:v>
                </c:pt>
                <c:pt idx="74">
                  <c:v>-165.33451749056979</c:v>
                </c:pt>
                <c:pt idx="75">
                  <c:v>-140.05960990069423</c:v>
                </c:pt>
                <c:pt idx="76">
                  <c:v>-116.37825899182393</c:v>
                </c:pt>
                <c:pt idx="77">
                  <c:v>-94.889437340312753</c:v>
                </c:pt>
                <c:pt idx="78">
                  <c:v>-75.956044829287336</c:v>
                </c:pt>
                <c:pt idx="79">
                  <c:v>-59.723216479158211</c:v>
                </c:pt>
                <c:pt idx="80">
                  <c:v>-46.15484820836307</c:v>
                </c:pt>
                <c:pt idx="81">
                  <c:v>-35.079668527695027</c:v>
                </c:pt>
                <c:pt idx="82">
                  <c:v>-26.237830618136577</c:v>
                </c:pt>
                <c:pt idx="83">
                  <c:v>-19.324160170133503</c:v>
                </c:pt>
                <c:pt idx="84">
                  <c:v>-14.022578027628974</c:v>
                </c:pt>
                <c:pt idx="85">
                  <c:v>-10.031243447942765</c:v>
                </c:pt>
                <c:pt idx="86">
                  <c:v>-7.0781365209549509</c:v>
                </c:pt>
                <c:pt idx="87">
                  <c:v>-4.9289684238947435</c:v>
                </c:pt>
                <c:pt idx="88">
                  <c:v>-3.3892998504278995</c:v>
                </c:pt>
                <c:pt idx="89">
                  <c:v>-2.3026898325820437</c:v>
                </c:pt>
                <c:pt idx="90">
                  <c:v>-1.5467076646963867</c:v>
                </c:pt>
                <c:pt idx="91">
                  <c:v>-1.0278353833741929</c:v>
                </c:pt>
                <c:pt idx="92">
                  <c:v>-0.67624138914783261</c:v>
                </c:pt>
                <c:pt idx="93">
                  <c:v>-0.44084032723454497</c:v>
                </c:pt>
                <c:pt idx="94">
                  <c:v>-0.28498542558296297</c:v>
                </c:pt>
              </c:numCache>
            </c:numRef>
          </c:val>
          <c:smooth val="0"/>
        </c:ser>
        <c:dLbls>
          <c:showLegendKey val="0"/>
          <c:showVal val="0"/>
          <c:showCatName val="0"/>
          <c:showSerName val="0"/>
          <c:showPercent val="0"/>
          <c:showBubbleSize val="0"/>
        </c:dLbls>
        <c:marker val="1"/>
        <c:smooth val="0"/>
        <c:axId val="239963136"/>
        <c:axId val="239989888"/>
      </c:lineChart>
      <c:catAx>
        <c:axId val="239963136"/>
        <c:scaling>
          <c:orientation val="minMax"/>
        </c:scaling>
        <c:delete val="0"/>
        <c:axPos val="b"/>
        <c:title>
          <c:tx>
            <c:rich>
              <a:bodyPr/>
              <a:lstStyle/>
              <a:p>
                <a:pPr>
                  <a:defRPr/>
                </a:pPr>
                <a:r>
                  <a:rPr lang="en-US"/>
                  <a:t>Term in years</a:t>
                </a:r>
              </a:p>
            </c:rich>
          </c:tx>
          <c:overlay val="0"/>
        </c:title>
        <c:majorTickMark val="out"/>
        <c:minorTickMark val="none"/>
        <c:tickLblPos val="nextTo"/>
        <c:crossAx val="239989888"/>
        <c:crosses val="autoZero"/>
        <c:auto val="1"/>
        <c:lblAlgn val="ctr"/>
        <c:lblOffset val="100"/>
        <c:noMultiLvlLbl val="0"/>
      </c:catAx>
      <c:valAx>
        <c:axId val="239989888"/>
        <c:scaling>
          <c:orientation val="minMax"/>
        </c:scaling>
        <c:delete val="0"/>
        <c:axPos val="l"/>
        <c:majorGridlines/>
        <c:title>
          <c:tx>
            <c:rich>
              <a:bodyPr rot="-5400000" vert="horz"/>
              <a:lstStyle/>
              <a:p>
                <a:pPr>
                  <a:defRPr/>
                </a:pPr>
                <a:r>
                  <a:rPr lang="en-US"/>
                  <a:t>Cash-flows</a:t>
                </a:r>
              </a:p>
            </c:rich>
          </c:tx>
          <c:overlay val="0"/>
        </c:title>
        <c:numFmt formatCode="General" sourceLinked="1"/>
        <c:majorTickMark val="out"/>
        <c:minorTickMark val="none"/>
        <c:tickLblPos val="nextTo"/>
        <c:crossAx val="23996313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ZA"/>
              <a:t>Cash-flows</a:t>
            </a:r>
            <a:r>
              <a:rPr lang="en-ZA" baseline="0"/>
              <a:t> resulting from the hedge for different terms</a:t>
            </a:r>
            <a:endParaRPr lang="en-ZA"/>
          </a:p>
        </c:rich>
      </c:tx>
      <c:overlay val="0"/>
    </c:title>
    <c:autoTitleDeleted val="0"/>
    <c:plotArea>
      <c:layout/>
      <c:lineChart>
        <c:grouping val="standard"/>
        <c:varyColors val="0"/>
        <c:ser>
          <c:idx val="0"/>
          <c:order val="0"/>
          <c:tx>
            <c:strRef>
              <c:f>'AM80'!$B$468</c:f>
              <c:strCache>
                <c:ptCount val="1"/>
                <c:pt idx="0">
                  <c:v>2</c:v>
                </c:pt>
              </c:strCache>
            </c:strRef>
          </c:tx>
          <c:marker>
            <c:symbol val="none"/>
          </c:marker>
          <c:cat>
            <c:numRef>
              <c:f>'AM80'!$C$467:$I$467</c:f>
              <c:numCache>
                <c:formatCode>0.0%</c:formatCode>
                <c:ptCount val="7"/>
                <c:pt idx="0">
                  <c:v>0</c:v>
                </c:pt>
                <c:pt idx="1">
                  <c:v>5.0000000000000096E-3</c:v>
                </c:pt>
                <c:pt idx="2">
                  <c:v>1.0000000000000005E-2</c:v>
                </c:pt>
                <c:pt idx="3">
                  <c:v>1.4999999999999998E-2</c:v>
                </c:pt>
                <c:pt idx="4">
                  <c:v>2.0000000000000011E-2</c:v>
                </c:pt>
                <c:pt idx="5">
                  <c:v>2.5000000000000012E-2</c:v>
                </c:pt>
                <c:pt idx="6">
                  <c:v>3.0000000000000016E-2</c:v>
                </c:pt>
              </c:numCache>
            </c:numRef>
          </c:cat>
          <c:val>
            <c:numRef>
              <c:f>'AM80'!$C$468:$I$468</c:f>
              <c:numCache>
                <c:formatCode>0</c:formatCode>
                <c:ptCount val="7"/>
                <c:pt idx="0">
                  <c:v>-7559.9843070357965</c:v>
                </c:pt>
                <c:pt idx="1">
                  <c:v>-2835.0022079944611</c:v>
                </c:pt>
                <c:pt idx="2">
                  <c:v>0</c:v>
                </c:pt>
                <c:pt idx="3">
                  <c:v>945.00613197684424</c:v>
                </c:pt>
                <c:pt idx="4">
                  <c:v>1.0877847671508814E-6</c:v>
                </c:pt>
                <c:pt idx="5">
                  <c:v>-2835.0345795601606</c:v>
                </c:pt>
                <c:pt idx="6">
                  <c:v>-7560.1137987375205</c:v>
                </c:pt>
              </c:numCache>
            </c:numRef>
          </c:val>
          <c:smooth val="0"/>
        </c:ser>
        <c:ser>
          <c:idx val="1"/>
          <c:order val="1"/>
          <c:tx>
            <c:strRef>
              <c:f>'AM80'!$B$469</c:f>
              <c:strCache>
                <c:ptCount val="1"/>
                <c:pt idx="0">
                  <c:v>3</c:v>
                </c:pt>
              </c:strCache>
            </c:strRef>
          </c:tx>
          <c:marker>
            <c:symbol val="none"/>
          </c:marker>
          <c:cat>
            <c:numRef>
              <c:f>'AM80'!$C$467:$I$467</c:f>
              <c:numCache>
                <c:formatCode>0.0%</c:formatCode>
                <c:ptCount val="7"/>
                <c:pt idx="0">
                  <c:v>0</c:v>
                </c:pt>
                <c:pt idx="1">
                  <c:v>5.0000000000000096E-3</c:v>
                </c:pt>
                <c:pt idx="2">
                  <c:v>1.0000000000000005E-2</c:v>
                </c:pt>
                <c:pt idx="3">
                  <c:v>1.4999999999999998E-2</c:v>
                </c:pt>
                <c:pt idx="4">
                  <c:v>2.0000000000000011E-2</c:v>
                </c:pt>
                <c:pt idx="5">
                  <c:v>2.5000000000000012E-2</c:v>
                </c:pt>
                <c:pt idx="6">
                  <c:v>3.0000000000000016E-2</c:v>
                </c:pt>
              </c:numCache>
            </c:numRef>
          </c:cat>
          <c:val>
            <c:numRef>
              <c:f>'AM80'!$C$469:$I$469</c:f>
              <c:numCache>
                <c:formatCode>0</c:formatCode>
                <c:ptCount val="7"/>
                <c:pt idx="0">
                  <c:v>-36844.146468102932</c:v>
                </c:pt>
                <c:pt idx="1">
                  <c:v>-13788.047979652882</c:v>
                </c:pt>
                <c:pt idx="2">
                  <c:v>0</c:v>
                </c:pt>
                <c:pt idx="3">
                  <c:v>4577.0104343295134</c:v>
                </c:pt>
                <c:pt idx="4">
                  <c:v>9.5367431640625064E-7</c:v>
                </c:pt>
                <c:pt idx="5">
                  <c:v>-13674.010959923246</c:v>
                </c:pt>
                <c:pt idx="6">
                  <c:v>-36387.998411476612</c:v>
                </c:pt>
              </c:numCache>
            </c:numRef>
          </c:val>
          <c:smooth val="0"/>
        </c:ser>
        <c:ser>
          <c:idx val="2"/>
          <c:order val="2"/>
          <c:tx>
            <c:strRef>
              <c:f>'AM80'!$B$470</c:f>
              <c:strCache>
                <c:ptCount val="1"/>
                <c:pt idx="0">
                  <c:v>4</c:v>
                </c:pt>
              </c:strCache>
            </c:strRef>
          </c:tx>
          <c:marker>
            <c:symbol val="none"/>
          </c:marker>
          <c:cat>
            <c:numRef>
              <c:f>'AM80'!$C$467:$I$467</c:f>
              <c:numCache>
                <c:formatCode>0.0%</c:formatCode>
                <c:ptCount val="7"/>
                <c:pt idx="0">
                  <c:v>0</c:v>
                </c:pt>
                <c:pt idx="1">
                  <c:v>5.0000000000000096E-3</c:v>
                </c:pt>
                <c:pt idx="2">
                  <c:v>1.0000000000000005E-2</c:v>
                </c:pt>
                <c:pt idx="3">
                  <c:v>1.4999999999999998E-2</c:v>
                </c:pt>
                <c:pt idx="4">
                  <c:v>2.0000000000000011E-2</c:v>
                </c:pt>
                <c:pt idx="5">
                  <c:v>2.5000000000000012E-2</c:v>
                </c:pt>
                <c:pt idx="6">
                  <c:v>3.0000000000000016E-2</c:v>
                </c:pt>
              </c:numCache>
            </c:numRef>
          </c:cat>
          <c:val>
            <c:numRef>
              <c:f>'AM80'!$C$470:$I$470</c:f>
              <c:numCache>
                <c:formatCode>0</c:formatCode>
                <c:ptCount val="7"/>
                <c:pt idx="0">
                  <c:v>-109017.04891526683</c:v>
                </c:pt>
                <c:pt idx="1">
                  <c:v>-40709.353391230143</c:v>
                </c:pt>
                <c:pt idx="2">
                  <c:v>0</c:v>
                </c:pt>
                <c:pt idx="3">
                  <c:v>13455.548564612876</c:v>
                </c:pt>
                <c:pt idx="4">
                  <c:v>-1.2516975402832082E-6</c:v>
                </c:pt>
                <c:pt idx="5">
                  <c:v>-40025.767325341614</c:v>
                </c:pt>
                <c:pt idx="6">
                  <c:v>-106282.70399945958</c:v>
                </c:pt>
              </c:numCache>
            </c:numRef>
          </c:val>
          <c:smooth val="0"/>
        </c:ser>
        <c:ser>
          <c:idx val="3"/>
          <c:order val="3"/>
          <c:tx>
            <c:strRef>
              <c:f>'AM80'!$B$471</c:f>
              <c:strCache>
                <c:ptCount val="1"/>
                <c:pt idx="0">
                  <c:v>5</c:v>
                </c:pt>
              </c:strCache>
            </c:strRef>
          </c:tx>
          <c:marker>
            <c:symbol val="none"/>
          </c:marker>
          <c:cat>
            <c:numRef>
              <c:f>'AM80'!$C$467:$I$467</c:f>
              <c:numCache>
                <c:formatCode>0.0%</c:formatCode>
                <c:ptCount val="7"/>
                <c:pt idx="0">
                  <c:v>0</c:v>
                </c:pt>
                <c:pt idx="1">
                  <c:v>5.0000000000000096E-3</c:v>
                </c:pt>
                <c:pt idx="2">
                  <c:v>1.0000000000000005E-2</c:v>
                </c:pt>
                <c:pt idx="3">
                  <c:v>1.4999999999999998E-2</c:v>
                </c:pt>
                <c:pt idx="4">
                  <c:v>2.0000000000000011E-2</c:v>
                </c:pt>
                <c:pt idx="5">
                  <c:v>2.5000000000000012E-2</c:v>
                </c:pt>
                <c:pt idx="6">
                  <c:v>3.0000000000000016E-2</c:v>
                </c:pt>
              </c:numCache>
            </c:numRef>
          </c:cat>
          <c:val>
            <c:numRef>
              <c:f>'AM80'!$C$471:$I$471</c:f>
              <c:numCache>
                <c:formatCode>0</c:formatCode>
                <c:ptCount val="7"/>
                <c:pt idx="0">
                  <c:v>-254035.17891204348</c:v>
                </c:pt>
                <c:pt idx="1">
                  <c:v>-94648.924042344093</c:v>
                </c:pt>
                <c:pt idx="2">
                  <c:v>0</c:v>
                </c:pt>
                <c:pt idx="3">
                  <c:v>31143.494438290621</c:v>
                </c:pt>
                <c:pt idx="4">
                  <c:v>1.1920928955078191E-7</c:v>
                </c:pt>
                <c:pt idx="5">
                  <c:v>-92225.424840211868</c:v>
                </c:pt>
                <c:pt idx="6">
                  <c:v>-244341.02571606604</c:v>
                </c:pt>
              </c:numCache>
            </c:numRef>
          </c:val>
          <c:smooth val="0"/>
        </c:ser>
        <c:dLbls>
          <c:showLegendKey val="0"/>
          <c:showVal val="0"/>
          <c:showCatName val="0"/>
          <c:showSerName val="0"/>
          <c:showPercent val="0"/>
          <c:showBubbleSize val="0"/>
        </c:dLbls>
        <c:marker val="1"/>
        <c:smooth val="0"/>
        <c:axId val="240021504"/>
        <c:axId val="240023424"/>
      </c:lineChart>
      <c:catAx>
        <c:axId val="240021504"/>
        <c:scaling>
          <c:orientation val="minMax"/>
        </c:scaling>
        <c:delete val="0"/>
        <c:axPos val="b"/>
        <c:title>
          <c:tx>
            <c:rich>
              <a:bodyPr/>
              <a:lstStyle/>
              <a:p>
                <a:pPr>
                  <a:defRPr/>
                </a:pPr>
                <a:r>
                  <a:rPr lang="en-ZA"/>
                  <a:t>Mortality Improvements</a:t>
                </a:r>
              </a:p>
            </c:rich>
          </c:tx>
          <c:overlay val="0"/>
        </c:title>
        <c:numFmt formatCode="0.0%" sourceLinked="1"/>
        <c:majorTickMark val="out"/>
        <c:minorTickMark val="none"/>
        <c:tickLblPos val="nextTo"/>
        <c:crossAx val="240023424"/>
        <c:crosses val="autoZero"/>
        <c:auto val="1"/>
        <c:lblAlgn val="ctr"/>
        <c:lblOffset val="100"/>
        <c:noMultiLvlLbl val="0"/>
      </c:catAx>
      <c:valAx>
        <c:axId val="240023424"/>
        <c:scaling>
          <c:orientation val="minMax"/>
        </c:scaling>
        <c:delete val="0"/>
        <c:axPos val="l"/>
        <c:majorGridlines/>
        <c:title>
          <c:tx>
            <c:rich>
              <a:bodyPr rot="-5400000" vert="horz"/>
              <a:lstStyle/>
              <a:p>
                <a:pPr>
                  <a:defRPr/>
                </a:pPr>
                <a:r>
                  <a:rPr lang="en-ZA"/>
                  <a:t>Cashflows</a:t>
                </a:r>
              </a:p>
            </c:rich>
          </c:tx>
          <c:overlay val="0"/>
        </c:title>
        <c:numFmt formatCode="0" sourceLinked="0"/>
        <c:majorTickMark val="out"/>
        <c:minorTickMark val="none"/>
        <c:tickLblPos val="nextTo"/>
        <c:crossAx val="24002150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ZA" sz="1800" b="1" i="0" baseline="0"/>
              <a:t>Cash-flows resulting from the hedge for different terms</a:t>
            </a:r>
          </a:p>
        </c:rich>
      </c:tx>
      <c:overlay val="0"/>
    </c:title>
    <c:autoTitleDeleted val="0"/>
    <c:plotArea>
      <c:layout/>
      <c:lineChart>
        <c:grouping val="standard"/>
        <c:varyColors val="0"/>
        <c:ser>
          <c:idx val="4"/>
          <c:order val="0"/>
          <c:tx>
            <c:strRef>
              <c:f>'AM80'!$B$471</c:f>
              <c:strCache>
                <c:ptCount val="1"/>
                <c:pt idx="0">
                  <c:v>5</c:v>
                </c:pt>
              </c:strCache>
            </c:strRef>
          </c:tx>
          <c:marker>
            <c:symbol val="none"/>
          </c:marker>
          <c:cat>
            <c:numRef>
              <c:f>'AM80'!$C$467:$I$467</c:f>
              <c:numCache>
                <c:formatCode>0.0%</c:formatCode>
                <c:ptCount val="7"/>
                <c:pt idx="0">
                  <c:v>0</c:v>
                </c:pt>
                <c:pt idx="1">
                  <c:v>5.0000000000000096E-3</c:v>
                </c:pt>
                <c:pt idx="2">
                  <c:v>1.0000000000000005E-2</c:v>
                </c:pt>
                <c:pt idx="3">
                  <c:v>1.4999999999999998E-2</c:v>
                </c:pt>
                <c:pt idx="4">
                  <c:v>2.0000000000000011E-2</c:v>
                </c:pt>
                <c:pt idx="5">
                  <c:v>2.5000000000000001E-2</c:v>
                </c:pt>
                <c:pt idx="6">
                  <c:v>3.0000000000000002E-2</c:v>
                </c:pt>
              </c:numCache>
            </c:numRef>
          </c:cat>
          <c:val>
            <c:numRef>
              <c:f>'AM80'!$C$471:$I$471</c:f>
              <c:numCache>
                <c:formatCode>0</c:formatCode>
                <c:ptCount val="7"/>
                <c:pt idx="0">
                  <c:v>-254035.17891204348</c:v>
                </c:pt>
                <c:pt idx="1">
                  <c:v>-94648.924042344093</c:v>
                </c:pt>
                <c:pt idx="2">
                  <c:v>0</c:v>
                </c:pt>
                <c:pt idx="3">
                  <c:v>31143.494438290621</c:v>
                </c:pt>
                <c:pt idx="4">
                  <c:v>1.1920928955078186E-7</c:v>
                </c:pt>
                <c:pt idx="5">
                  <c:v>-92225.424840211868</c:v>
                </c:pt>
                <c:pt idx="6">
                  <c:v>-244341.02571606604</c:v>
                </c:pt>
              </c:numCache>
            </c:numRef>
          </c:val>
          <c:smooth val="0"/>
        </c:ser>
        <c:ser>
          <c:idx val="5"/>
          <c:order val="1"/>
          <c:tx>
            <c:strRef>
              <c:f>'AM80'!$B$472</c:f>
              <c:strCache>
                <c:ptCount val="1"/>
                <c:pt idx="0">
                  <c:v>10</c:v>
                </c:pt>
              </c:strCache>
            </c:strRef>
          </c:tx>
          <c:marker>
            <c:symbol val="none"/>
          </c:marker>
          <c:cat>
            <c:numRef>
              <c:f>'AM80'!$C$467:$I$467</c:f>
              <c:numCache>
                <c:formatCode>0.0%</c:formatCode>
                <c:ptCount val="7"/>
                <c:pt idx="0">
                  <c:v>0</c:v>
                </c:pt>
                <c:pt idx="1">
                  <c:v>5.0000000000000096E-3</c:v>
                </c:pt>
                <c:pt idx="2">
                  <c:v>1.0000000000000005E-2</c:v>
                </c:pt>
                <c:pt idx="3">
                  <c:v>1.4999999999999998E-2</c:v>
                </c:pt>
                <c:pt idx="4">
                  <c:v>2.0000000000000011E-2</c:v>
                </c:pt>
                <c:pt idx="5">
                  <c:v>2.5000000000000001E-2</c:v>
                </c:pt>
                <c:pt idx="6">
                  <c:v>3.0000000000000002E-2</c:v>
                </c:pt>
              </c:numCache>
            </c:numRef>
          </c:cat>
          <c:val>
            <c:numRef>
              <c:f>'AM80'!$C$472:$I$472</c:f>
              <c:numCache>
                <c:formatCode>0</c:formatCode>
                <c:ptCount val="7"/>
                <c:pt idx="0">
                  <c:v>-4194472.35632658</c:v>
                </c:pt>
                <c:pt idx="1">
                  <c:v>-1543214.4677233696</c:v>
                </c:pt>
                <c:pt idx="2">
                  <c:v>0</c:v>
                </c:pt>
                <c:pt idx="3">
                  <c:v>495212.03400135098</c:v>
                </c:pt>
                <c:pt idx="4">
                  <c:v>-2.3841857910156364E-6</c:v>
                </c:pt>
                <c:pt idx="5">
                  <c:v>-1430435.7595853808</c:v>
                </c:pt>
                <c:pt idx="6">
                  <c:v>-3743190.6264057099</c:v>
                </c:pt>
              </c:numCache>
            </c:numRef>
          </c:val>
          <c:smooth val="0"/>
        </c:ser>
        <c:ser>
          <c:idx val="6"/>
          <c:order val="2"/>
          <c:tx>
            <c:strRef>
              <c:f>'AM80'!$B$473</c:f>
              <c:strCache>
                <c:ptCount val="1"/>
                <c:pt idx="0">
                  <c:v>15</c:v>
                </c:pt>
              </c:strCache>
            </c:strRef>
          </c:tx>
          <c:marker>
            <c:symbol val="none"/>
          </c:marker>
          <c:cat>
            <c:numRef>
              <c:f>'AM80'!$C$467:$I$467</c:f>
              <c:numCache>
                <c:formatCode>0.0%</c:formatCode>
                <c:ptCount val="7"/>
                <c:pt idx="0">
                  <c:v>0</c:v>
                </c:pt>
                <c:pt idx="1">
                  <c:v>5.0000000000000096E-3</c:v>
                </c:pt>
                <c:pt idx="2">
                  <c:v>1.0000000000000005E-2</c:v>
                </c:pt>
                <c:pt idx="3">
                  <c:v>1.4999999999999998E-2</c:v>
                </c:pt>
                <c:pt idx="4">
                  <c:v>2.0000000000000011E-2</c:v>
                </c:pt>
                <c:pt idx="5">
                  <c:v>2.5000000000000001E-2</c:v>
                </c:pt>
                <c:pt idx="6">
                  <c:v>3.0000000000000002E-2</c:v>
                </c:pt>
              </c:numCache>
            </c:numRef>
          </c:cat>
          <c:val>
            <c:numRef>
              <c:f>'AM80'!$C$473:$I$473</c:f>
              <c:numCache>
                <c:formatCode>0</c:formatCode>
                <c:ptCount val="7"/>
                <c:pt idx="0">
                  <c:v>-26307038.43119622</c:v>
                </c:pt>
                <c:pt idx="1">
                  <c:v>-9555538.8862638269</c:v>
                </c:pt>
                <c:pt idx="2">
                  <c:v>0</c:v>
                </c:pt>
                <c:pt idx="3">
                  <c:v>2989353.6005554167</c:v>
                </c:pt>
                <c:pt idx="4">
                  <c:v>-2.8610229492187559E-6</c:v>
                </c:pt>
                <c:pt idx="5">
                  <c:v>-8420618.7423028704</c:v>
                </c:pt>
                <c:pt idx="6">
                  <c:v>-21762904.322543144</c:v>
                </c:pt>
              </c:numCache>
            </c:numRef>
          </c:val>
          <c:smooth val="0"/>
        </c:ser>
        <c:ser>
          <c:idx val="7"/>
          <c:order val="3"/>
          <c:tx>
            <c:strRef>
              <c:f>'AM80'!$B$474</c:f>
              <c:strCache>
                <c:ptCount val="1"/>
                <c:pt idx="0">
                  <c:v>20</c:v>
                </c:pt>
              </c:strCache>
            </c:strRef>
          </c:tx>
          <c:marker>
            <c:symbol val="none"/>
          </c:marker>
          <c:cat>
            <c:numRef>
              <c:f>'AM80'!$C$467:$I$467</c:f>
              <c:numCache>
                <c:formatCode>0.0%</c:formatCode>
                <c:ptCount val="7"/>
                <c:pt idx="0">
                  <c:v>0</c:v>
                </c:pt>
                <c:pt idx="1">
                  <c:v>5.0000000000000096E-3</c:v>
                </c:pt>
                <c:pt idx="2">
                  <c:v>1.0000000000000005E-2</c:v>
                </c:pt>
                <c:pt idx="3">
                  <c:v>1.4999999999999998E-2</c:v>
                </c:pt>
                <c:pt idx="4">
                  <c:v>2.0000000000000011E-2</c:v>
                </c:pt>
                <c:pt idx="5">
                  <c:v>2.5000000000000001E-2</c:v>
                </c:pt>
                <c:pt idx="6">
                  <c:v>3.0000000000000002E-2</c:v>
                </c:pt>
              </c:numCache>
            </c:numRef>
          </c:cat>
          <c:val>
            <c:numRef>
              <c:f>'AM80'!$C$474:$I$474</c:f>
              <c:numCache>
                <c:formatCode>0</c:formatCode>
                <c:ptCount val="7"/>
                <c:pt idx="0">
                  <c:v>-97459021.682195663</c:v>
                </c:pt>
                <c:pt idx="1">
                  <c:v>-35046791.400751084</c:v>
                </c:pt>
                <c:pt idx="2">
                  <c:v>0</c:v>
                </c:pt>
                <c:pt idx="3">
                  <c:v>10743748.453968048</c:v>
                </c:pt>
                <c:pt idx="4">
                  <c:v>-3.8146972656250144E-6</c:v>
                </c:pt>
                <c:pt idx="5">
                  <c:v>-29650557.204990387</c:v>
                </c:pt>
                <c:pt idx="6">
                  <c:v>-75849548.026725769</c:v>
                </c:pt>
              </c:numCache>
            </c:numRef>
          </c:val>
          <c:smooth val="0"/>
        </c:ser>
        <c:ser>
          <c:idx val="0"/>
          <c:order val="4"/>
          <c:tx>
            <c:strRef>
              <c:f>'AM80'!$B$475</c:f>
              <c:strCache>
                <c:ptCount val="1"/>
                <c:pt idx="0">
                  <c:v>25</c:v>
                </c:pt>
              </c:strCache>
            </c:strRef>
          </c:tx>
          <c:marker>
            <c:symbol val="none"/>
          </c:marker>
          <c:cat>
            <c:numRef>
              <c:f>'AM80'!$C$467:$I$467</c:f>
              <c:numCache>
                <c:formatCode>0.0%</c:formatCode>
                <c:ptCount val="7"/>
                <c:pt idx="0">
                  <c:v>0</c:v>
                </c:pt>
                <c:pt idx="1">
                  <c:v>5.0000000000000096E-3</c:v>
                </c:pt>
                <c:pt idx="2">
                  <c:v>1.0000000000000005E-2</c:v>
                </c:pt>
                <c:pt idx="3">
                  <c:v>1.4999999999999998E-2</c:v>
                </c:pt>
                <c:pt idx="4">
                  <c:v>2.0000000000000011E-2</c:v>
                </c:pt>
                <c:pt idx="5">
                  <c:v>2.5000000000000001E-2</c:v>
                </c:pt>
                <c:pt idx="6">
                  <c:v>3.0000000000000002E-2</c:v>
                </c:pt>
              </c:numCache>
            </c:numRef>
          </c:cat>
          <c:val>
            <c:numRef>
              <c:f>'AM80'!$C$475:$I$475</c:f>
              <c:numCache>
                <c:formatCode>0</c:formatCode>
                <c:ptCount val="7"/>
                <c:pt idx="0">
                  <c:v>-242351698.15750131</c:v>
                </c:pt>
                <c:pt idx="1">
                  <c:v>-86736115.177686572</c:v>
                </c:pt>
                <c:pt idx="2">
                  <c:v>0</c:v>
                </c:pt>
                <c:pt idx="3">
                  <c:v>26304408.826063156</c:v>
                </c:pt>
                <c:pt idx="4">
                  <c:v>-3.8146972656250144E-6</c:v>
                </c:pt>
                <c:pt idx="5">
                  <c:v>-71718643.577541098</c:v>
                </c:pt>
                <c:pt idx="6">
                  <c:v>-182279135.88639271</c:v>
                </c:pt>
              </c:numCache>
            </c:numRef>
          </c:val>
          <c:smooth val="0"/>
        </c:ser>
        <c:ser>
          <c:idx val="1"/>
          <c:order val="5"/>
          <c:tx>
            <c:strRef>
              <c:f>'AM80'!$B$476</c:f>
              <c:strCache>
                <c:ptCount val="1"/>
                <c:pt idx="0">
                  <c:v>55</c:v>
                </c:pt>
              </c:strCache>
            </c:strRef>
          </c:tx>
          <c:marker>
            <c:symbol val="none"/>
          </c:marker>
          <c:cat>
            <c:numRef>
              <c:f>'AM80'!$C$467:$I$467</c:f>
              <c:numCache>
                <c:formatCode>0.0%</c:formatCode>
                <c:ptCount val="7"/>
                <c:pt idx="0">
                  <c:v>0</c:v>
                </c:pt>
                <c:pt idx="1">
                  <c:v>5.0000000000000096E-3</c:v>
                </c:pt>
                <c:pt idx="2">
                  <c:v>1.0000000000000005E-2</c:v>
                </c:pt>
                <c:pt idx="3">
                  <c:v>1.4999999999999998E-2</c:v>
                </c:pt>
                <c:pt idx="4">
                  <c:v>2.0000000000000011E-2</c:v>
                </c:pt>
                <c:pt idx="5">
                  <c:v>2.5000000000000001E-2</c:v>
                </c:pt>
                <c:pt idx="6">
                  <c:v>3.0000000000000002E-2</c:v>
                </c:pt>
              </c:numCache>
            </c:numRef>
          </c:cat>
          <c:val>
            <c:numRef>
              <c:f>'AM80'!$C$476:$I$476</c:f>
              <c:numCache>
                <c:formatCode>0</c:formatCode>
                <c:ptCount val="7"/>
                <c:pt idx="0">
                  <c:v>-664508381.2460593</c:v>
                </c:pt>
                <c:pt idx="1">
                  <c:v>-256879401.07802388</c:v>
                </c:pt>
                <c:pt idx="2">
                  <c:v>0</c:v>
                </c:pt>
                <c:pt idx="3">
                  <c:v>88104513.80933094</c:v>
                </c:pt>
                <c:pt idx="4">
                  <c:v>-7.6293945312500186E-6</c:v>
                </c:pt>
                <c:pt idx="5">
                  <c:v>-263794106.86629519</c:v>
                </c:pt>
                <c:pt idx="6">
                  <c:v>-696816137.33690166</c:v>
                </c:pt>
              </c:numCache>
            </c:numRef>
          </c:val>
          <c:smooth val="0"/>
        </c:ser>
        <c:dLbls>
          <c:showLegendKey val="0"/>
          <c:showVal val="0"/>
          <c:showCatName val="0"/>
          <c:showSerName val="0"/>
          <c:showPercent val="0"/>
          <c:showBubbleSize val="0"/>
        </c:dLbls>
        <c:marker val="1"/>
        <c:smooth val="0"/>
        <c:axId val="240048384"/>
        <c:axId val="240591232"/>
      </c:lineChart>
      <c:catAx>
        <c:axId val="240048384"/>
        <c:scaling>
          <c:orientation val="minMax"/>
        </c:scaling>
        <c:delete val="0"/>
        <c:axPos val="b"/>
        <c:title>
          <c:tx>
            <c:rich>
              <a:bodyPr/>
              <a:lstStyle/>
              <a:p>
                <a:pPr>
                  <a:defRPr/>
                </a:pPr>
                <a:r>
                  <a:rPr lang="en-ZA"/>
                  <a:t>Mortality Improvements</a:t>
                </a:r>
              </a:p>
            </c:rich>
          </c:tx>
          <c:overlay val="0"/>
        </c:title>
        <c:numFmt formatCode="0.0%" sourceLinked="1"/>
        <c:majorTickMark val="out"/>
        <c:minorTickMark val="none"/>
        <c:tickLblPos val="nextTo"/>
        <c:crossAx val="240591232"/>
        <c:crosses val="autoZero"/>
        <c:auto val="1"/>
        <c:lblAlgn val="ctr"/>
        <c:lblOffset val="100"/>
        <c:noMultiLvlLbl val="0"/>
      </c:catAx>
      <c:valAx>
        <c:axId val="240591232"/>
        <c:scaling>
          <c:orientation val="minMax"/>
        </c:scaling>
        <c:delete val="0"/>
        <c:axPos val="l"/>
        <c:majorGridlines/>
        <c:title>
          <c:tx>
            <c:rich>
              <a:bodyPr rot="-5400000" vert="horz"/>
              <a:lstStyle/>
              <a:p>
                <a:pPr>
                  <a:defRPr/>
                </a:pPr>
                <a:r>
                  <a:rPr lang="en-ZA"/>
                  <a:t>Cashflows</a:t>
                </a:r>
              </a:p>
            </c:rich>
          </c:tx>
          <c:overlay val="0"/>
        </c:title>
        <c:numFmt formatCode="0" sourceLinked="0"/>
        <c:majorTickMark val="out"/>
        <c:minorTickMark val="none"/>
        <c:tickLblPos val="nextTo"/>
        <c:crossAx val="24004838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t>Assurances required for the hedges of various terms at various ages</a:t>
            </a:r>
          </a:p>
        </c:rich>
      </c:tx>
      <c:overlay val="0"/>
    </c:title>
    <c:autoTitleDeleted val="0"/>
    <c:plotArea>
      <c:layout/>
      <c:lineChart>
        <c:grouping val="standard"/>
        <c:varyColors val="0"/>
        <c:ser>
          <c:idx val="1"/>
          <c:order val="0"/>
          <c:tx>
            <c:strRef>
              <c:f>Sheet1!$AD$1</c:f>
              <c:strCache>
                <c:ptCount val="1"/>
                <c:pt idx="0">
                  <c:v>Age 25</c:v>
                </c:pt>
              </c:strCache>
            </c:strRef>
          </c:tx>
          <c:marker>
            <c:symbol val="none"/>
          </c:marker>
          <c:val>
            <c:numRef>
              <c:f>Sheet1!$AD$2:$AD$95</c:f>
              <c:numCache>
                <c:formatCode>0.0000</c:formatCode>
                <c:ptCount val="94"/>
                <c:pt idx="0">
                  <c:v>12.707292288648002</c:v>
                </c:pt>
                <c:pt idx="1">
                  <c:v>26.61625365817493</c:v>
                </c:pt>
                <c:pt idx="2">
                  <c:v>41.5279085228931</c:v>
                </c:pt>
                <c:pt idx="3">
                  <c:v>57.146956998369973</c:v>
                </c:pt>
                <c:pt idx="4">
                  <c:v>73.141282328970235</c:v>
                </c:pt>
                <c:pt idx="5">
                  <c:v>89.100978996714048</c:v>
                </c:pt>
                <c:pt idx="6">
                  <c:v>104.63187812045912</c:v>
                </c:pt>
                <c:pt idx="7">
                  <c:v>119.35022034597149</c:v>
                </c:pt>
                <c:pt idx="8">
                  <c:v>132.90900971108815</c:v>
                </c:pt>
                <c:pt idx="9">
                  <c:v>144.9910011267271</c:v>
                </c:pt>
                <c:pt idx="10">
                  <c:v>155.38751886774011</c:v>
                </c:pt>
                <c:pt idx="11">
                  <c:v>163.92144062606994</c:v>
                </c:pt>
                <c:pt idx="12">
                  <c:v>170.53345009828072</c:v>
                </c:pt>
                <c:pt idx="13">
                  <c:v>175.20383089721042</c:v>
                </c:pt>
                <c:pt idx="14">
                  <c:v>177.99427994723652</c:v>
                </c:pt>
                <c:pt idx="15">
                  <c:v>179.01460367926623</c:v>
                </c:pt>
                <c:pt idx="16">
                  <c:v>178.40097750707483</c:v>
                </c:pt>
                <c:pt idx="17">
                  <c:v>176.32411038074068</c:v>
                </c:pt>
                <c:pt idx="18">
                  <c:v>172.96774005982161</c:v>
                </c:pt>
                <c:pt idx="19">
                  <c:v>168.52365128932163</c:v>
                </c:pt>
                <c:pt idx="20">
                  <c:v>163.17978936508956</c:v>
                </c:pt>
                <c:pt idx="21">
                  <c:v>157.12940060825838</c:v>
                </c:pt>
                <c:pt idx="22">
                  <c:v>150.55173277049064</c:v>
                </c:pt>
                <c:pt idx="23">
                  <c:v>143.60454823926378</c:v>
                </c:pt>
                <c:pt idx="24">
                  <c:v>136.43451382393499</c:v>
                </c:pt>
                <c:pt idx="25">
                  <c:v>129.174092985209</c:v>
                </c:pt>
                <c:pt idx="26">
                  <c:v>121.93175845768015</c:v>
                </c:pt>
                <c:pt idx="27">
                  <c:v>114.80367854458019</c:v>
                </c:pt>
                <c:pt idx="28">
                  <c:v>107.86729387514934</c:v>
                </c:pt>
                <c:pt idx="29">
                  <c:v>101.18143134824848</c:v>
                </c:pt>
                <c:pt idx="30">
                  <c:v>94.791597890315813</c:v>
                </c:pt>
                <c:pt idx="31">
                  <c:v>88.72958946658818</c:v>
                </c:pt>
                <c:pt idx="32">
                  <c:v>83.015313016544241</c:v>
                </c:pt>
                <c:pt idx="33">
                  <c:v>77.659153941903824</c:v>
                </c:pt>
                <c:pt idx="34">
                  <c:v>72.663041996643727</c:v>
                </c:pt>
                <c:pt idx="35">
                  <c:v>68.022283918053958</c:v>
                </c:pt>
                <c:pt idx="36">
                  <c:v>63.727404940126071</c:v>
                </c:pt>
                <c:pt idx="37">
                  <c:v>59.765086811826251</c:v>
                </c:pt>
                <c:pt idx="38">
                  <c:v>56.119217323827883</c:v>
                </c:pt>
                <c:pt idx="39">
                  <c:v>52.772023294609383</c:v>
                </c:pt>
                <c:pt idx="40">
                  <c:v>49.70504154871314</c:v>
                </c:pt>
                <c:pt idx="41">
                  <c:v>46.899389755943844</c:v>
                </c:pt>
                <c:pt idx="42">
                  <c:v>44.336429770150914</c:v>
                </c:pt>
                <c:pt idx="43">
                  <c:v>41.998265102580312</c:v>
                </c:pt>
                <c:pt idx="44">
                  <c:v>39.867701958408752</c:v>
                </c:pt>
                <c:pt idx="45">
                  <c:v>37.92872411920537</c:v>
                </c:pt>
                <c:pt idx="46">
                  <c:v>36.166450961276055</c:v>
                </c:pt>
                <c:pt idx="47">
                  <c:v>34.567142724843961</c:v>
                </c:pt>
                <c:pt idx="48">
                  <c:v>33.118330050103467</c:v>
                </c:pt>
                <c:pt idx="49">
                  <c:v>31.80868927923542</c:v>
                </c:pt>
                <c:pt idx="50">
                  <c:v>30.627999572807401</c:v>
                </c:pt>
                <c:pt idx="51">
                  <c:v>29.567111527803494</c:v>
                </c:pt>
                <c:pt idx="52">
                  <c:v>28.617984304152547</c:v>
                </c:pt>
                <c:pt idx="53">
                  <c:v>27.773822538990029</c:v>
                </c:pt>
                <c:pt idx="54">
                  <c:v>27.027526194586912</c:v>
                </c:pt>
                <c:pt idx="55">
                  <c:v>26.374619866582623</c:v>
                </c:pt>
                <c:pt idx="56">
                  <c:v>25.809694228235188</c:v>
                </c:pt>
                <c:pt idx="57">
                  <c:v>25.327741182303626</c:v>
                </c:pt>
                <c:pt idx="58">
                  <c:v>24.924084506622826</c:v>
                </c:pt>
                <c:pt idx="59">
                  <c:v>24.594310578300082</c:v>
                </c:pt>
                <c:pt idx="60">
                  <c:v>24.334185705525435</c:v>
                </c:pt>
                <c:pt idx="61">
                  <c:v>24.139584747771693</c:v>
                </c:pt>
                <c:pt idx="62">
                  <c:v>24.006405911712381</c:v>
                </c:pt>
                <c:pt idx="63">
                  <c:v>23.930498218492957</c:v>
                </c:pt>
                <c:pt idx="64">
                  <c:v>23.907589775309269</c:v>
                </c:pt>
                <c:pt idx="65">
                  <c:v>23.932020864378224</c:v>
                </c:pt>
                <c:pt idx="66">
                  <c:v>23.992932900873711</c:v>
                </c:pt>
                <c:pt idx="67">
                  <c:v>24.081478414561229</c:v>
                </c:pt>
                <c:pt idx="68">
                  <c:v>24.195803013004635</c:v>
                </c:pt>
                <c:pt idx="69">
                  <c:v>24.332891493585215</c:v>
                </c:pt>
                <c:pt idx="70">
                  <c:v>24.489410559864986</c:v>
                </c:pt>
                <c:pt idx="71">
                  <c:v>24.661770363130117</c:v>
                </c:pt>
                <c:pt idx="72">
                  <c:v>24.846203585371264</c:v>
                </c:pt>
                <c:pt idx="73">
                  <c:v>25.038862689628278</c:v>
                </c:pt>
                <c:pt idx="74">
                  <c:v>25.235928030898595</c:v>
                </c:pt>
                <c:pt idx="75">
                  <c:v>25.433725315179931</c:v>
                </c:pt>
                <c:pt idx="76">
                  <c:v>25.628838156511048</c:v>
                </c:pt>
                <c:pt idx="77">
                  <c:v>25.818211793173056</c:v>
                </c:pt>
                <c:pt idx="78">
                  <c:v>25.999236778745779</c:v>
                </c:pt>
                <c:pt idx="79">
                  <c:v>26.169807140798497</c:v>
                </c:pt>
                <c:pt idx="80">
                  <c:v>26.328350626105621</c:v>
                </c:pt>
                <c:pt idx="81">
                  <c:v>26.473826839588089</c:v>
                </c:pt>
                <c:pt idx="82">
                  <c:v>26.605698674551689</c:v>
                </c:pt>
                <c:pt idx="83">
                  <c:v>26.723879759426953</c:v>
                </c:pt>
                <c:pt idx="84">
                  <c:v>26.82866636964069</c:v>
                </c:pt>
                <c:pt idx="85">
                  <c:v>26.920659777332638</c:v>
                </c:pt>
                <c:pt idx="86">
                  <c:v>27.000686481266406</c:v>
                </c:pt>
                <c:pt idx="87">
                  <c:v>27.069722808626381</c:v>
                </c:pt>
                <c:pt idx="88">
                  <c:v>27.128826971015279</c:v>
                </c:pt>
                <c:pt idx="89">
                  <c:v>27.179082788687818</c:v>
                </c:pt>
                <c:pt idx="90">
                  <c:v>27.22155476326963</c:v>
                </c:pt>
                <c:pt idx="91">
                  <c:v>27.257255542143159</c:v>
                </c:pt>
                <c:pt idx="92">
                  <c:v>27.287123633689262</c:v>
                </c:pt>
                <c:pt idx="93">
                  <c:v>27.312010789011843</c:v>
                </c:pt>
              </c:numCache>
            </c:numRef>
          </c:val>
          <c:smooth val="0"/>
        </c:ser>
        <c:ser>
          <c:idx val="2"/>
          <c:order val="1"/>
          <c:tx>
            <c:strRef>
              <c:f>Sheet1!$AE$1</c:f>
              <c:strCache>
                <c:ptCount val="1"/>
                <c:pt idx="0">
                  <c:v>Age 35</c:v>
                </c:pt>
              </c:strCache>
            </c:strRef>
          </c:tx>
          <c:marker>
            <c:symbol val="none"/>
          </c:marker>
          <c:val>
            <c:numRef>
              <c:f>Sheet1!$AE$2:$AE$95</c:f>
              <c:numCache>
                <c:formatCode>0.0000</c:formatCode>
                <c:ptCount val="94"/>
                <c:pt idx="0">
                  <c:v>2.2243838228246036</c:v>
                </c:pt>
                <c:pt idx="1">
                  <c:v>5.5311111892911375</c:v>
                </c:pt>
                <c:pt idx="2">
                  <c:v>9.6526730935743448</c:v>
                </c:pt>
                <c:pt idx="3">
                  <c:v>14.346325228304542</c:v>
                </c:pt>
                <c:pt idx="4">
                  <c:v>19.398866993868733</c:v>
                </c:pt>
                <c:pt idx="5">
                  <c:v>24.624963774287931</c:v>
                </c:pt>
                <c:pt idx="6">
                  <c:v>29.86379893122313</c:v>
                </c:pt>
                <c:pt idx="7">
                  <c:v>34.981158756347341</c:v>
                </c:pt>
                <c:pt idx="8">
                  <c:v>39.865521553806218</c:v>
                </c:pt>
                <c:pt idx="9">
                  <c:v>44.426861987244763</c:v>
                </c:pt>
                <c:pt idx="10">
                  <c:v>48.593246682271626</c:v>
                </c:pt>
                <c:pt idx="11">
                  <c:v>52.31414979626949</c:v>
                </c:pt>
                <c:pt idx="12">
                  <c:v>55.554173185369315</c:v>
                </c:pt>
                <c:pt idx="13">
                  <c:v>58.288837508854336</c:v>
                </c:pt>
                <c:pt idx="14">
                  <c:v>60.508026274833036</c:v>
                </c:pt>
                <c:pt idx="15">
                  <c:v>62.214481567065214</c:v>
                </c:pt>
                <c:pt idx="16">
                  <c:v>63.417748419476844</c:v>
                </c:pt>
                <c:pt idx="17">
                  <c:v>64.138914131876618</c:v>
                </c:pt>
                <c:pt idx="18">
                  <c:v>64.405878454271118</c:v>
                </c:pt>
                <c:pt idx="19">
                  <c:v>64.251351188992473</c:v>
                </c:pt>
                <c:pt idx="20">
                  <c:v>63.714059848891928</c:v>
                </c:pt>
                <c:pt idx="21">
                  <c:v>62.836251810966296</c:v>
                </c:pt>
                <c:pt idx="22">
                  <c:v>61.662416937334939</c:v>
                </c:pt>
                <c:pt idx="23">
                  <c:v>60.238480364914913</c:v>
                </c:pt>
                <c:pt idx="24">
                  <c:v>58.610113309003502</c:v>
                </c:pt>
                <c:pt idx="25">
                  <c:v>56.821785527627135</c:v>
                </c:pt>
                <c:pt idx="26">
                  <c:v>54.916126095209194</c:v>
                </c:pt>
                <c:pt idx="27">
                  <c:v>52.932811038066006</c:v>
                </c:pt>
                <c:pt idx="28">
                  <c:v>50.907820860838527</c:v>
                </c:pt>
                <c:pt idx="29">
                  <c:v>48.873067224194756</c:v>
                </c:pt>
                <c:pt idx="30">
                  <c:v>46.85632506379379</c:v>
                </c:pt>
                <c:pt idx="31">
                  <c:v>44.880867788849734</c:v>
                </c:pt>
                <c:pt idx="32">
                  <c:v>42.965767666695875</c:v>
                </c:pt>
                <c:pt idx="33">
                  <c:v>41.126285683463756</c:v>
                </c:pt>
                <c:pt idx="34">
                  <c:v>39.373914186393044</c:v>
                </c:pt>
                <c:pt idx="35">
                  <c:v>37.717071972469341</c:v>
                </c:pt>
                <c:pt idx="36">
                  <c:v>36.161382681233547</c:v>
                </c:pt>
                <c:pt idx="37">
                  <c:v>34.710060182809343</c:v>
                </c:pt>
                <c:pt idx="38">
                  <c:v>33.364454545386877</c:v>
                </c:pt>
                <c:pt idx="39">
                  <c:v>32.124345652566241</c:v>
                </c:pt>
                <c:pt idx="40">
                  <c:v>30.988308111354726</c:v>
                </c:pt>
                <c:pt idx="41">
                  <c:v>29.954062552398732</c:v>
                </c:pt>
                <c:pt idx="42">
                  <c:v>29.018862420110295</c:v>
                </c:pt>
                <c:pt idx="43">
                  <c:v>28.179943428443735</c:v>
                </c:pt>
                <c:pt idx="44">
                  <c:v>27.434144972748786</c:v>
                </c:pt>
                <c:pt idx="45">
                  <c:v>26.777967792606098</c:v>
                </c:pt>
                <c:pt idx="46">
                  <c:v>26.207702458943121</c:v>
                </c:pt>
                <c:pt idx="47">
                  <c:v>25.719542421086278</c:v>
                </c:pt>
                <c:pt idx="48">
                  <c:v>25.309643348427514</c:v>
                </c:pt>
                <c:pt idx="49">
                  <c:v>24.974152974001687</c:v>
                </c:pt>
                <c:pt idx="50">
                  <c:v>24.709202993321117</c:v>
                </c:pt>
                <c:pt idx="51">
                  <c:v>24.510893341413691</c:v>
                </c:pt>
                <c:pt idx="52">
                  <c:v>24.375247051753426</c:v>
                </c:pt>
                <c:pt idx="53">
                  <c:v>24.298166455128023</c:v>
                </c:pt>
                <c:pt idx="54">
                  <c:v>24.274549020947351</c:v>
                </c:pt>
                <c:pt idx="55">
                  <c:v>24.299736249842997</c:v>
                </c:pt>
                <c:pt idx="56">
                  <c:v>24.362536948891474</c:v>
                </c:pt>
                <c:pt idx="57">
                  <c:v>24.453836700324931</c:v>
                </c:pt>
                <c:pt idx="58">
                  <c:v>24.571732759875339</c:v>
                </c:pt>
                <c:pt idx="59">
                  <c:v>24.713126662537121</c:v>
                </c:pt>
                <c:pt idx="60">
                  <c:v>24.87459183285101</c:v>
                </c:pt>
                <c:pt idx="61">
                  <c:v>25.052435878974549</c:v>
                </c:pt>
                <c:pt idx="62">
                  <c:v>25.242781121142684</c:v>
                </c:pt>
                <c:pt idx="63">
                  <c:v>25.441664099353492</c:v>
                </c:pt>
                <c:pt idx="64">
                  <c:v>25.645146602523944</c:v>
                </c:pt>
                <c:pt idx="65">
                  <c:v>25.849436710313789</c:v>
                </c:pt>
                <c:pt idx="66">
                  <c:v>26.051005146589375</c:v>
                </c:pt>
                <c:pt idx="67">
                  <c:v>26.246692840415257</c:v>
                </c:pt>
                <c:pt idx="68">
                  <c:v>26.433798067361689</c:v>
                </c:pt>
                <c:pt idx="69">
                  <c:v>26.61013737635211</c:v>
                </c:pt>
                <c:pt idx="70">
                  <c:v>26.774077728093847</c:v>
                </c:pt>
                <c:pt idx="71">
                  <c:v>26.924535404169681</c:v>
                </c:pt>
                <c:pt idx="72">
                  <c:v>27.060947181986229</c:v>
                </c:pt>
                <c:pt idx="73">
                  <c:v>27.183216540461896</c:v>
                </c:pt>
                <c:pt idx="74">
                  <c:v>27.291643613365142</c:v>
                </c:pt>
                <c:pt idx="75">
                  <c:v>27.386845075583189</c:v>
                </c:pt>
                <c:pt idx="76">
                  <c:v>27.46967168782917</c:v>
                </c:pt>
                <c:pt idx="77">
                  <c:v>27.541130253177016</c:v>
                </c:pt>
                <c:pt idx="78">
                  <c:v>27.602313212817485</c:v>
                </c:pt>
                <c:pt idx="79">
                  <c:v>27.654340276208178</c:v>
                </c:pt>
                <c:pt idx="80">
                  <c:v>27.698311781316132</c:v>
                </c:pt>
                <c:pt idx="81">
                  <c:v>27.735274883506403</c:v>
                </c:pt>
                <c:pt idx="82">
                  <c:v>27.766200368355442</c:v>
                </c:pt>
                <c:pt idx="83">
                  <c:v>27.79196948918959</c:v>
                </c:pt>
              </c:numCache>
            </c:numRef>
          </c:val>
          <c:smooth val="0"/>
        </c:ser>
        <c:ser>
          <c:idx val="3"/>
          <c:order val="2"/>
          <c:tx>
            <c:strRef>
              <c:f>Sheet1!$AF$1</c:f>
              <c:strCache>
                <c:ptCount val="1"/>
                <c:pt idx="0">
                  <c:v>Age 45</c:v>
                </c:pt>
              </c:strCache>
            </c:strRef>
          </c:tx>
          <c:marker>
            <c:symbol val="none"/>
          </c:marker>
          <c:val>
            <c:numRef>
              <c:f>Sheet1!$AF$2:$AF$95</c:f>
              <c:numCache>
                <c:formatCode>0.0000</c:formatCode>
                <c:ptCount val="94"/>
                <c:pt idx="0">
                  <c:v>0.77631514966980264</c:v>
                </c:pt>
                <c:pt idx="1">
                  <c:v>1.9571520805230633</c:v>
                </c:pt>
                <c:pt idx="2">
                  <c:v>3.4674995310023844</c:v>
                </c:pt>
                <c:pt idx="3">
                  <c:v>5.2386480154663042</c:v>
                </c:pt>
                <c:pt idx="4">
                  <c:v>7.2080278637925712</c:v>
                </c:pt>
                <c:pt idx="5">
                  <c:v>9.3189212966937589</c:v>
                </c:pt>
                <c:pt idx="6">
                  <c:v>11.518985338441366</c:v>
                </c:pt>
                <c:pt idx="7">
                  <c:v>13.761235014919816</c:v>
                </c:pt>
                <c:pt idx="8">
                  <c:v>16.003044890272026</c:v>
                </c:pt>
                <c:pt idx="9">
                  <c:v>18.205561970247931</c:v>
                </c:pt>
                <c:pt idx="10">
                  <c:v>20.334453063837611</c:v>
                </c:pt>
                <c:pt idx="11">
                  <c:v>22.3594794160418</c:v>
                </c:pt>
                <c:pt idx="12">
                  <c:v>24.254503447185542</c:v>
                </c:pt>
                <c:pt idx="13">
                  <c:v>25.997736381503394</c:v>
                </c:pt>
                <c:pt idx="14">
                  <c:v>27.571562245703081</c:v>
                </c:pt>
                <c:pt idx="15">
                  <c:v>28.962629220532104</c:v>
                </c:pt>
                <c:pt idx="16">
                  <c:v>30.162046392308007</c:v>
                </c:pt>
                <c:pt idx="17">
                  <c:v>31.165178109692206</c:v>
                </c:pt>
                <c:pt idx="18">
                  <c:v>31.971454581645126</c:v>
                </c:pt>
                <c:pt idx="19">
                  <c:v>32.584252667842804</c:v>
                </c:pt>
                <c:pt idx="20">
                  <c:v>33.010752381313992</c:v>
                </c:pt>
                <c:pt idx="21">
                  <c:v>33.261306195492395</c:v>
                </c:pt>
                <c:pt idx="22">
                  <c:v>33.349092736709459</c:v>
                </c:pt>
                <c:pt idx="23">
                  <c:v>33.289712402124543</c:v>
                </c:pt>
                <c:pt idx="24">
                  <c:v>33.100368323349684</c:v>
                </c:pt>
                <c:pt idx="25">
                  <c:v>32.799541719947648</c:v>
                </c:pt>
                <c:pt idx="26">
                  <c:v>32.406292656272271</c:v>
                </c:pt>
                <c:pt idx="27">
                  <c:v>31.93966781649663</c:v>
                </c:pt>
                <c:pt idx="28">
                  <c:v>31.418318882102412</c:v>
                </c:pt>
                <c:pt idx="29">
                  <c:v>30.859934148127827</c:v>
                </c:pt>
                <c:pt idx="30">
                  <c:v>30.280904529447433</c:v>
                </c:pt>
                <c:pt idx="31">
                  <c:v>29.696141786451832</c:v>
                </c:pt>
                <c:pt idx="32">
                  <c:v>29.119081294462891</c:v>
                </c:pt>
                <c:pt idx="33">
                  <c:v>28.561884053332985</c:v>
                </c:pt>
                <c:pt idx="34">
                  <c:v>28.034857462289093</c:v>
                </c:pt>
                <c:pt idx="35">
                  <c:v>27.546419120596454</c:v>
                </c:pt>
                <c:pt idx="36">
                  <c:v>27.103218123973985</c:v>
                </c:pt>
                <c:pt idx="37">
                  <c:v>26.710304778935729</c:v>
                </c:pt>
                <c:pt idx="38">
                  <c:v>26.371288567285831</c:v>
                </c:pt>
                <c:pt idx="39">
                  <c:v>26.088494130932023</c:v>
                </c:pt>
                <c:pt idx="40">
                  <c:v>25.863092278225771</c:v>
                </c:pt>
                <c:pt idx="41">
                  <c:v>25.695228518145722</c:v>
                </c:pt>
                <c:pt idx="42">
                  <c:v>25.584116457983182</c:v>
                </c:pt>
                <c:pt idx="43">
                  <c:v>25.52812413072078</c:v>
                </c:pt>
                <c:pt idx="44">
                  <c:v>25.524838681594431</c:v>
                </c:pt>
                <c:pt idx="45">
                  <c:v>25.569742020429615</c:v>
                </c:pt>
                <c:pt idx="46">
                  <c:v>25.65194629884995</c:v>
                </c:pt>
                <c:pt idx="47">
                  <c:v>25.762508767857593</c:v>
                </c:pt>
                <c:pt idx="48">
                  <c:v>25.900217821996829</c:v>
                </c:pt>
                <c:pt idx="49">
                  <c:v>26.062326146589616</c:v>
                </c:pt>
                <c:pt idx="50">
                  <c:v>26.245556256708522</c:v>
                </c:pt>
                <c:pt idx="51">
                  <c:v>26.446203812060777</c:v>
                </c:pt>
                <c:pt idx="52">
                  <c:v>26.660253738791017</c:v>
                </c:pt>
                <c:pt idx="53">
                  <c:v>26.883511680909763</c:v>
                </c:pt>
                <c:pt idx="54">
                  <c:v>27.110814559425648</c:v>
                </c:pt>
                <c:pt idx="55">
                  <c:v>27.339227058813535</c:v>
                </c:pt>
                <c:pt idx="56">
                  <c:v>27.564800541318377</c:v>
                </c:pt>
                <c:pt idx="57">
                  <c:v>27.78398707275468</c:v>
                </c:pt>
                <c:pt idx="58">
                  <c:v>27.99373962320297</c:v>
                </c:pt>
                <c:pt idx="59">
                  <c:v>28.19158360358427</c:v>
                </c:pt>
                <c:pt idx="60">
                  <c:v>28.375656402014435</c:v>
                </c:pt>
                <c:pt idx="61">
                  <c:v>28.544709508608477</c:v>
                </c:pt>
                <c:pt idx="62">
                  <c:v>28.698079047720089</c:v>
                </c:pt>
                <c:pt idx="63">
                  <c:v>28.835627602275629</c:v>
                </c:pt>
                <c:pt idx="64">
                  <c:v>28.957667033776719</c:v>
                </c:pt>
                <c:pt idx="65">
                  <c:v>29.064869275356266</c:v>
                </c:pt>
                <c:pt idx="66">
                  <c:v>29.158173889241112</c:v>
                </c:pt>
                <c:pt idx="67">
                  <c:v>29.238700134152626</c:v>
                </c:pt>
                <c:pt idx="68">
                  <c:v>29.307667328240651</c:v>
                </c:pt>
                <c:pt idx="69">
                  <c:v>29.366328595193206</c:v>
                </c:pt>
                <c:pt idx="70">
                  <c:v>29.415917759127787</c:v>
                </c:pt>
                <c:pt idx="71">
                  <c:v>29.457610702904212</c:v>
                </c:pt>
                <c:pt idx="72">
                  <c:v>29.492498751414438</c:v>
                </c:pt>
                <c:pt idx="73">
                  <c:v>29.521573428141632</c:v>
                </c:pt>
              </c:numCache>
            </c:numRef>
          </c:val>
          <c:smooth val="0"/>
        </c:ser>
        <c:ser>
          <c:idx val="4"/>
          <c:order val="3"/>
          <c:tx>
            <c:strRef>
              <c:f>Sheet1!$AG$1</c:f>
              <c:strCache>
                <c:ptCount val="1"/>
                <c:pt idx="0">
                  <c:v>Age 55</c:v>
                </c:pt>
              </c:strCache>
            </c:strRef>
          </c:tx>
          <c:marker>
            <c:symbol val="none"/>
          </c:marker>
          <c:val>
            <c:numRef>
              <c:f>Sheet1!$AG$2:$AG$95</c:f>
              <c:numCache>
                <c:formatCode>0.0000</c:formatCode>
                <c:ptCount val="94"/>
                <c:pt idx="0">
                  <c:v>0.36937077680905045</c:v>
                </c:pt>
                <c:pt idx="1">
                  <c:v>0.94735420590573927</c:v>
                </c:pt>
                <c:pt idx="2">
                  <c:v>1.707744748880089</c:v>
                </c:pt>
                <c:pt idx="3">
                  <c:v>2.6256730348410438</c:v>
                </c:pt>
                <c:pt idx="4">
                  <c:v>3.6773607298596471</c:v>
                </c:pt>
                <c:pt idx="5">
                  <c:v>4.8399531104923934</c:v>
                </c:pt>
                <c:pt idx="6">
                  <c:v>6.0915003289576317</c:v>
                </c:pt>
                <c:pt idx="7">
                  <c:v>7.4108700471276725</c:v>
                </c:pt>
                <c:pt idx="8">
                  <c:v>8.7777135534244977</c:v>
                </c:pt>
                <c:pt idx="9">
                  <c:v>10.172522854525758</c:v>
                </c:pt>
                <c:pt idx="10">
                  <c:v>11.57681903129912</c:v>
                </c:pt>
                <c:pt idx="11">
                  <c:v>12.973151049352868</c:v>
                </c:pt>
                <c:pt idx="12">
                  <c:v>14.345298953905406</c:v>
                </c:pt>
                <c:pt idx="13">
                  <c:v>15.678516805721166</c:v>
                </c:pt>
                <c:pt idx="14">
                  <c:v>16.959567207086042</c:v>
                </c:pt>
                <c:pt idx="15">
                  <c:v>18.177058226615742</c:v>
                </c:pt>
                <c:pt idx="16">
                  <c:v>19.321540181732331</c:v>
                </c:pt>
                <c:pt idx="17">
                  <c:v>20.385609123369512</c:v>
                </c:pt>
                <c:pt idx="18">
                  <c:v>21.364106285399426</c:v>
                </c:pt>
                <c:pt idx="19">
                  <c:v>22.254102821627235</c:v>
                </c:pt>
                <c:pt idx="20">
                  <c:v>23.05490279224329</c:v>
                </c:pt>
                <c:pt idx="21">
                  <c:v>23.768013706018923</c:v>
                </c:pt>
                <c:pt idx="22">
                  <c:v>24.39715654607263</c:v>
                </c:pt>
                <c:pt idx="23">
                  <c:v>24.948368559554627</c:v>
                </c:pt>
                <c:pt idx="24">
                  <c:v>25.42919706004853</c:v>
                </c:pt>
                <c:pt idx="25">
                  <c:v>25.848268382185573</c:v>
                </c:pt>
                <c:pt idx="26">
                  <c:v>26.214953973360263</c:v>
                </c:pt>
                <c:pt idx="27">
                  <c:v>26.539064016894173</c:v>
                </c:pt>
                <c:pt idx="28">
                  <c:v>26.830517843122799</c:v>
                </c:pt>
                <c:pt idx="29">
                  <c:v>27.098995321186631</c:v>
                </c:pt>
                <c:pt idx="30">
                  <c:v>27.353632772668252</c:v>
                </c:pt>
                <c:pt idx="31">
                  <c:v>27.60279232621469</c:v>
                </c:pt>
                <c:pt idx="32">
                  <c:v>27.853855452705549</c:v>
                </c:pt>
                <c:pt idx="33">
                  <c:v>28.113067173004147</c:v>
                </c:pt>
                <c:pt idx="34">
                  <c:v>28.385408358877456</c:v>
                </c:pt>
                <c:pt idx="35">
                  <c:v>28.672716707444685</c:v>
                </c:pt>
                <c:pt idx="36">
                  <c:v>28.967931052200932</c:v>
                </c:pt>
                <c:pt idx="37">
                  <c:v>29.265697570711069</c:v>
                </c:pt>
                <c:pt idx="38">
                  <c:v>29.570121240869781</c:v>
                </c:pt>
                <c:pt idx="39">
                  <c:v>29.882733939144362</c:v>
                </c:pt>
                <c:pt idx="40">
                  <c:v>30.203757001232972</c:v>
                </c:pt>
                <c:pt idx="41">
                  <c:v>30.532225918442705</c:v>
                </c:pt>
                <c:pt idx="42">
                  <c:v>30.86615619867511</c:v>
                </c:pt>
                <c:pt idx="43">
                  <c:v>31.202748668945734</c:v>
                </c:pt>
                <c:pt idx="44">
                  <c:v>31.538620510689089</c:v>
                </c:pt>
                <c:pt idx="45">
                  <c:v>31.870057680025276</c:v>
                </c:pt>
                <c:pt idx="46">
                  <c:v>32.193264429930494</c:v>
                </c:pt>
                <c:pt idx="47">
                  <c:v>32.504601415148137</c:v>
                </c:pt>
                <c:pt idx="48">
                  <c:v>32.800792074074579</c:v>
                </c:pt>
                <c:pt idx="49">
                  <c:v>33.079085752224294</c:v>
                </c:pt>
                <c:pt idx="50">
                  <c:v>33.337371038793478</c:v>
                </c:pt>
                <c:pt idx="51">
                  <c:v>33.574230353758644</c:v>
                </c:pt>
                <c:pt idx="52">
                  <c:v>33.788942764051612</c:v>
                </c:pt>
                <c:pt idx="53">
                  <c:v>33.981438678413213</c:v>
                </c:pt>
                <c:pt idx="54">
                  <c:v>34.151049286493894</c:v>
                </c:pt>
                <c:pt idx="55">
                  <c:v>34.300250814197952</c:v>
                </c:pt>
                <c:pt idx="56">
                  <c:v>34.430271414381345</c:v>
                </c:pt>
                <c:pt idx="57">
                  <c:v>34.542606291254565</c:v>
                </c:pt>
                <c:pt idx="58">
                  <c:v>34.638905452776008</c:v>
                </c:pt>
                <c:pt idx="59">
                  <c:v>34.720879316788945</c:v>
                </c:pt>
                <c:pt idx="60">
                  <c:v>34.790222320324489</c:v>
                </c:pt>
                <c:pt idx="61">
                  <c:v>34.848556707388646</c:v>
                </c:pt>
                <c:pt idx="62">
                  <c:v>34.897393302068153</c:v>
                </c:pt>
                <c:pt idx="63">
                  <c:v>34.938108467261245</c:v>
                </c:pt>
              </c:numCache>
            </c:numRef>
          </c:val>
          <c:smooth val="0"/>
        </c:ser>
        <c:dLbls>
          <c:showLegendKey val="0"/>
          <c:showVal val="0"/>
          <c:showCatName val="0"/>
          <c:showSerName val="0"/>
          <c:showPercent val="0"/>
          <c:showBubbleSize val="0"/>
        </c:dLbls>
        <c:marker val="1"/>
        <c:smooth val="0"/>
        <c:axId val="264438528"/>
        <c:axId val="264440448"/>
      </c:lineChart>
      <c:catAx>
        <c:axId val="264438528"/>
        <c:scaling>
          <c:orientation val="minMax"/>
        </c:scaling>
        <c:delete val="0"/>
        <c:axPos val="b"/>
        <c:title>
          <c:tx>
            <c:rich>
              <a:bodyPr/>
              <a:lstStyle/>
              <a:p>
                <a:pPr>
                  <a:defRPr/>
                </a:pPr>
                <a:r>
                  <a:rPr lang="en-US"/>
                  <a:t>Term in years</a:t>
                </a:r>
              </a:p>
            </c:rich>
          </c:tx>
          <c:overlay val="0"/>
        </c:title>
        <c:majorTickMark val="out"/>
        <c:minorTickMark val="none"/>
        <c:tickLblPos val="nextTo"/>
        <c:crossAx val="264440448"/>
        <c:crosses val="autoZero"/>
        <c:auto val="1"/>
        <c:lblAlgn val="ctr"/>
        <c:lblOffset val="100"/>
        <c:noMultiLvlLbl val="0"/>
      </c:catAx>
      <c:valAx>
        <c:axId val="264440448"/>
        <c:scaling>
          <c:orientation val="minMax"/>
        </c:scaling>
        <c:delete val="0"/>
        <c:axPos val="l"/>
        <c:majorGridlines/>
        <c:title>
          <c:tx>
            <c:rich>
              <a:bodyPr rot="-5400000" vert="horz"/>
              <a:lstStyle/>
              <a:p>
                <a:pPr>
                  <a:defRPr/>
                </a:pPr>
                <a:r>
                  <a:rPr lang="en-US"/>
                  <a:t>Assurances required</a:t>
                </a:r>
              </a:p>
            </c:rich>
          </c:tx>
          <c:overlay val="0"/>
        </c:title>
        <c:numFmt formatCode="0" sourceLinked="0"/>
        <c:majorTickMark val="out"/>
        <c:minorTickMark val="none"/>
        <c:tickLblPos val="nextTo"/>
        <c:crossAx val="26443852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ZA"/>
            </a:pPr>
            <a:r>
              <a:rPr lang="en-ZA" sz="1800" b="1" i="0" baseline="0"/>
              <a:t>Cash-flows resulting from the hedges for different additional longevity improvements above pricing</a:t>
            </a:r>
            <a:endParaRPr lang="en-ZA"/>
          </a:p>
        </c:rich>
      </c:tx>
      <c:overlay val="0"/>
    </c:title>
    <c:autoTitleDeleted val="0"/>
    <c:plotArea>
      <c:layout/>
      <c:lineChart>
        <c:grouping val="standard"/>
        <c:varyColors val="0"/>
        <c:ser>
          <c:idx val="0"/>
          <c:order val="0"/>
          <c:tx>
            <c:strRef>
              <c:f>'AM80'!$B$648</c:f>
              <c:strCache>
                <c:ptCount val="1"/>
                <c:pt idx="0">
                  <c:v>0.5%</c:v>
                </c:pt>
              </c:strCache>
            </c:strRef>
          </c:tx>
          <c:marker>
            <c:symbol val="none"/>
          </c:marker>
          <c:cat>
            <c:numRef>
              <c:f>'AM80'!$C$647:$I$647</c:f>
              <c:numCache>
                <c:formatCode>0.0%</c:formatCode>
                <c:ptCount val="7"/>
                <c:pt idx="0">
                  <c:v>0</c:v>
                </c:pt>
                <c:pt idx="1">
                  <c:v>5.0000000000000114E-3</c:v>
                </c:pt>
                <c:pt idx="2">
                  <c:v>1.0000000000000005E-2</c:v>
                </c:pt>
                <c:pt idx="3">
                  <c:v>1.4999999999999998E-2</c:v>
                </c:pt>
                <c:pt idx="4">
                  <c:v>2.0000000000000011E-2</c:v>
                </c:pt>
                <c:pt idx="5">
                  <c:v>2.5000000000000001E-2</c:v>
                </c:pt>
                <c:pt idx="6">
                  <c:v>3.0000000000000002E-2</c:v>
                </c:pt>
              </c:numCache>
            </c:numRef>
          </c:cat>
          <c:val>
            <c:numRef>
              <c:f>'AM80'!$C$648:$I$648</c:f>
              <c:numCache>
                <c:formatCode>0.0000</c:formatCode>
                <c:ptCount val="7"/>
                <c:pt idx="0">
                  <c:v>-190531.87948822891</c:v>
                </c:pt>
                <c:pt idx="1">
                  <c:v>-63101.486644149103</c:v>
                </c:pt>
                <c:pt idx="2">
                  <c:v>0</c:v>
                </c:pt>
                <c:pt idx="3">
                  <c:v>4.768371582031304E-7</c:v>
                </c:pt>
                <c:pt idx="4">
                  <c:v>-61887.492629766464</c:v>
                </c:pt>
                <c:pt idx="5">
                  <c:v>-184461.83130896091</c:v>
                </c:pt>
                <c:pt idx="6">
                  <c:v>-366535.63887155056</c:v>
                </c:pt>
              </c:numCache>
            </c:numRef>
          </c:val>
          <c:smooth val="0"/>
        </c:ser>
        <c:ser>
          <c:idx val="1"/>
          <c:order val="1"/>
          <c:tx>
            <c:strRef>
              <c:f>'AM80'!$B$649</c:f>
              <c:strCache>
                <c:ptCount val="1"/>
                <c:pt idx="0">
                  <c:v>1%</c:v>
                </c:pt>
              </c:strCache>
            </c:strRef>
          </c:tx>
          <c:marker>
            <c:symbol val="none"/>
          </c:marker>
          <c:cat>
            <c:numRef>
              <c:f>'AM80'!$C$647:$I$647</c:f>
              <c:numCache>
                <c:formatCode>0.0%</c:formatCode>
                <c:ptCount val="7"/>
                <c:pt idx="0">
                  <c:v>0</c:v>
                </c:pt>
                <c:pt idx="1">
                  <c:v>5.0000000000000114E-3</c:v>
                </c:pt>
                <c:pt idx="2">
                  <c:v>1.0000000000000005E-2</c:v>
                </c:pt>
                <c:pt idx="3">
                  <c:v>1.4999999999999998E-2</c:v>
                </c:pt>
                <c:pt idx="4">
                  <c:v>2.0000000000000011E-2</c:v>
                </c:pt>
                <c:pt idx="5">
                  <c:v>2.5000000000000001E-2</c:v>
                </c:pt>
                <c:pt idx="6">
                  <c:v>3.0000000000000002E-2</c:v>
                </c:pt>
              </c:numCache>
            </c:numRef>
          </c:cat>
          <c:val>
            <c:numRef>
              <c:f>'AM80'!$C$649:$I$649</c:f>
              <c:numCache>
                <c:formatCode>0.0000</c:formatCode>
                <c:ptCount val="7"/>
                <c:pt idx="0">
                  <c:v>-254035.17891204348</c:v>
                </c:pt>
                <c:pt idx="1">
                  <c:v>-94648.924042344093</c:v>
                </c:pt>
                <c:pt idx="2">
                  <c:v>0</c:v>
                </c:pt>
                <c:pt idx="3">
                  <c:v>31143.494438290621</c:v>
                </c:pt>
                <c:pt idx="4">
                  <c:v>1.1920928955078271E-7</c:v>
                </c:pt>
                <c:pt idx="5">
                  <c:v>-92225.424840211868</c:v>
                </c:pt>
                <c:pt idx="6">
                  <c:v>-244341.02571606598</c:v>
                </c:pt>
              </c:numCache>
            </c:numRef>
          </c:val>
          <c:smooth val="0"/>
        </c:ser>
        <c:ser>
          <c:idx val="2"/>
          <c:order val="2"/>
          <c:tx>
            <c:strRef>
              <c:f>'AM80'!$B$650</c:f>
              <c:strCache>
                <c:ptCount val="1"/>
                <c:pt idx="0">
                  <c:v>1.5%</c:v>
                </c:pt>
              </c:strCache>
            </c:strRef>
          </c:tx>
          <c:marker>
            <c:symbol val="none"/>
          </c:marker>
          <c:cat>
            <c:numRef>
              <c:f>'AM80'!$C$647:$I$647</c:f>
              <c:numCache>
                <c:formatCode>0.0%</c:formatCode>
                <c:ptCount val="7"/>
                <c:pt idx="0">
                  <c:v>0</c:v>
                </c:pt>
                <c:pt idx="1">
                  <c:v>5.0000000000000114E-3</c:v>
                </c:pt>
                <c:pt idx="2">
                  <c:v>1.0000000000000005E-2</c:v>
                </c:pt>
                <c:pt idx="3">
                  <c:v>1.4999999999999998E-2</c:v>
                </c:pt>
                <c:pt idx="4">
                  <c:v>2.0000000000000011E-2</c:v>
                </c:pt>
                <c:pt idx="5">
                  <c:v>2.5000000000000001E-2</c:v>
                </c:pt>
                <c:pt idx="6">
                  <c:v>3.0000000000000002E-2</c:v>
                </c:pt>
              </c:numCache>
            </c:numRef>
          </c:cat>
          <c:val>
            <c:numRef>
              <c:f>'AM80'!$C$650:$I$650</c:f>
              <c:numCache>
                <c:formatCode>0.0000</c:formatCode>
                <c:ptCount val="7"/>
                <c:pt idx="0">
                  <c:v>-317530.91765761422</c:v>
                </c:pt>
                <c:pt idx="1">
                  <c:v>-126192.60541474895</c:v>
                </c:pt>
                <c:pt idx="2">
                  <c:v>0</c:v>
                </c:pt>
                <c:pt idx="3">
                  <c:v>62283.280943751175</c:v>
                </c:pt>
                <c:pt idx="4">
                  <c:v>61880.124329209328</c:v>
                </c:pt>
                <c:pt idx="5">
                  <c:v>-2.3841857910156504E-6</c:v>
                </c:pt>
                <c:pt idx="6">
                  <c:v>-122160.96100378036</c:v>
                </c:pt>
              </c:numCache>
            </c:numRef>
          </c:val>
          <c:smooth val="0"/>
        </c:ser>
        <c:ser>
          <c:idx val="3"/>
          <c:order val="3"/>
          <c:tx>
            <c:strRef>
              <c:f>'AM80'!$B$651</c:f>
              <c:strCache>
                <c:ptCount val="1"/>
                <c:pt idx="0">
                  <c:v>2%</c:v>
                </c:pt>
              </c:strCache>
            </c:strRef>
          </c:tx>
          <c:marker>
            <c:symbol val="none"/>
          </c:marker>
          <c:cat>
            <c:numRef>
              <c:f>'AM80'!$C$647:$I$647</c:f>
              <c:numCache>
                <c:formatCode>0.0%</c:formatCode>
                <c:ptCount val="7"/>
                <c:pt idx="0">
                  <c:v>0</c:v>
                </c:pt>
                <c:pt idx="1">
                  <c:v>5.0000000000000114E-3</c:v>
                </c:pt>
                <c:pt idx="2">
                  <c:v>1.0000000000000005E-2</c:v>
                </c:pt>
                <c:pt idx="3">
                  <c:v>1.4999999999999998E-2</c:v>
                </c:pt>
                <c:pt idx="4">
                  <c:v>2.0000000000000011E-2</c:v>
                </c:pt>
                <c:pt idx="5">
                  <c:v>2.5000000000000001E-2</c:v>
                </c:pt>
                <c:pt idx="6">
                  <c:v>3.0000000000000002E-2</c:v>
                </c:pt>
              </c:numCache>
            </c:numRef>
          </c:cat>
          <c:val>
            <c:numRef>
              <c:f>'AM80'!$C$651:$I$651</c:f>
              <c:numCache>
                <c:formatCode>0.0000</c:formatCode>
                <c:ptCount val="7"/>
                <c:pt idx="0">
                  <c:v>-381016.72839927691</c:v>
                </c:pt>
                <c:pt idx="1">
                  <c:v>-157731.35471153248</c:v>
                </c:pt>
                <c:pt idx="2">
                  <c:v>0</c:v>
                </c:pt>
                <c:pt idx="3">
                  <c:v>93418.198525309548</c:v>
                </c:pt>
                <c:pt idx="4">
                  <c:v>123750.57326698345</c:v>
                </c:pt>
                <c:pt idx="5">
                  <c:v>92211.004743575992</c:v>
                </c:pt>
                <c:pt idx="6">
                  <c:v>-1.4305114746093847E-6</c:v>
                </c:pt>
              </c:numCache>
            </c:numRef>
          </c:val>
          <c:smooth val="0"/>
        </c:ser>
        <c:dLbls>
          <c:showLegendKey val="0"/>
          <c:showVal val="0"/>
          <c:showCatName val="0"/>
          <c:showSerName val="0"/>
          <c:showPercent val="0"/>
          <c:showBubbleSize val="0"/>
        </c:dLbls>
        <c:marker val="1"/>
        <c:smooth val="0"/>
        <c:axId val="264472064"/>
        <c:axId val="264473984"/>
      </c:lineChart>
      <c:catAx>
        <c:axId val="264472064"/>
        <c:scaling>
          <c:orientation val="minMax"/>
        </c:scaling>
        <c:delete val="0"/>
        <c:axPos val="b"/>
        <c:title>
          <c:tx>
            <c:rich>
              <a:bodyPr/>
              <a:lstStyle/>
              <a:p>
                <a:pPr>
                  <a:defRPr lang="en-ZA"/>
                </a:pPr>
                <a:r>
                  <a:rPr lang="en-ZA"/>
                  <a:t>Increases in Longevity</a:t>
                </a:r>
              </a:p>
            </c:rich>
          </c:tx>
          <c:overlay val="0"/>
        </c:title>
        <c:numFmt formatCode="0.0%" sourceLinked="1"/>
        <c:majorTickMark val="out"/>
        <c:minorTickMark val="none"/>
        <c:tickLblPos val="nextTo"/>
        <c:txPr>
          <a:bodyPr/>
          <a:lstStyle/>
          <a:p>
            <a:pPr>
              <a:defRPr lang="en-ZA"/>
            </a:pPr>
            <a:endParaRPr lang="en-US"/>
          </a:p>
        </c:txPr>
        <c:crossAx val="264473984"/>
        <c:crosses val="autoZero"/>
        <c:auto val="1"/>
        <c:lblAlgn val="ctr"/>
        <c:lblOffset val="100"/>
        <c:noMultiLvlLbl val="0"/>
      </c:catAx>
      <c:valAx>
        <c:axId val="264473984"/>
        <c:scaling>
          <c:orientation val="minMax"/>
        </c:scaling>
        <c:delete val="0"/>
        <c:axPos val="l"/>
        <c:majorGridlines/>
        <c:title>
          <c:tx>
            <c:rich>
              <a:bodyPr rot="-5400000" vert="horz"/>
              <a:lstStyle/>
              <a:p>
                <a:pPr>
                  <a:defRPr lang="en-ZA"/>
                </a:pPr>
                <a:r>
                  <a:rPr lang="en-ZA"/>
                  <a:t>Cashflows</a:t>
                </a:r>
              </a:p>
            </c:rich>
          </c:tx>
          <c:overlay val="0"/>
        </c:title>
        <c:numFmt formatCode="0" sourceLinked="0"/>
        <c:majorTickMark val="out"/>
        <c:minorTickMark val="none"/>
        <c:tickLblPos val="nextTo"/>
        <c:txPr>
          <a:bodyPr/>
          <a:lstStyle/>
          <a:p>
            <a:pPr>
              <a:defRPr lang="en-ZA"/>
            </a:pPr>
            <a:endParaRPr lang="en-US"/>
          </a:p>
        </c:txPr>
        <c:crossAx val="264472064"/>
        <c:crosses val="autoZero"/>
        <c:crossBetween val="between"/>
      </c:valAx>
    </c:plotArea>
    <c:legend>
      <c:legendPos val="r"/>
      <c:overlay val="0"/>
      <c:txPr>
        <a:bodyPr/>
        <a:lstStyle/>
        <a:p>
          <a:pPr>
            <a:defRPr lang="en-ZA"/>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97D63B-03CC-4D37-BF16-A68C09C2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8642</Words>
  <Characters>49262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Investigation of Hedging Strategies between Assurances And Annuities for the Purpose of Mitigating Longevity Risk</vt:lpstr>
    </vt:vector>
  </TitlesOfParts>
  <Company>UFS</Company>
  <LinksUpToDate>false</LinksUpToDate>
  <CharactersWithSpaces>57789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Hedging Strategies between Assurances And Annuities for the Purpose of Mitigating Longevity Risk</dc:title>
  <dc:subject>For the purpose of mitigating longevity risk</dc:subject>
  <dc:creator>Koning, F.F.  </dc:creator>
  <cp:keywords/>
  <dc:description/>
  <cp:lastModifiedBy>uvp</cp:lastModifiedBy>
  <cp:revision>2</cp:revision>
  <cp:lastPrinted>2013-12-10T15:12:00Z</cp:lastPrinted>
  <dcterms:created xsi:type="dcterms:W3CDTF">2013-12-13T14:35:00Z</dcterms:created>
  <dcterms:modified xsi:type="dcterms:W3CDTF">2013-12-13T14:35:00Z</dcterms:modified>
</cp:coreProperties>
</file>