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645" w:rsidRDefault="00591296" w:rsidP="009766BA">
      <w:pPr>
        <w:jc w:val="center"/>
        <w:rPr>
          <w:rFonts w:ascii="Calibri" w:eastAsia="Times New Roman" w:hAnsi="Calibri"/>
          <w:b/>
          <w:sz w:val="22"/>
          <w:szCs w:val="22"/>
        </w:rPr>
      </w:pPr>
      <w:r w:rsidRPr="00591296">
        <w:rPr>
          <w:rFonts w:ascii="Calibri" w:eastAsia="Times New Roman" w:hAnsi="Calibri"/>
          <w:b/>
          <w:sz w:val="22"/>
          <w:szCs w:val="22"/>
        </w:rPr>
        <w:t xml:space="preserve">Session on ISAPs at ICA, Washington </w:t>
      </w:r>
    </w:p>
    <w:p w:rsidR="00591296" w:rsidRDefault="00460645" w:rsidP="009766BA">
      <w:pPr>
        <w:jc w:val="center"/>
        <w:rPr>
          <w:rFonts w:ascii="Calibri" w:eastAsia="Times New Roman" w:hAnsi="Calibri"/>
          <w:b/>
          <w:sz w:val="22"/>
          <w:szCs w:val="22"/>
        </w:rPr>
      </w:pPr>
      <w:r>
        <w:rPr>
          <w:rFonts w:ascii="Calibri" w:eastAsia="Times New Roman" w:hAnsi="Calibri"/>
          <w:b/>
          <w:sz w:val="22"/>
          <w:szCs w:val="22"/>
        </w:rPr>
        <w:t xml:space="preserve">Wednesday, 2 April </w:t>
      </w:r>
      <w:r w:rsidR="00591296" w:rsidRPr="00591296">
        <w:rPr>
          <w:rFonts w:ascii="Calibri" w:eastAsia="Times New Roman" w:hAnsi="Calibri"/>
          <w:b/>
          <w:sz w:val="22"/>
          <w:szCs w:val="22"/>
        </w:rPr>
        <w:t>2014</w:t>
      </w:r>
      <w:r w:rsidR="009766BA">
        <w:rPr>
          <w:rFonts w:ascii="Calibri" w:eastAsia="Times New Roman" w:hAnsi="Calibri"/>
          <w:b/>
          <w:sz w:val="22"/>
          <w:szCs w:val="22"/>
        </w:rPr>
        <w:t xml:space="preserve"> </w:t>
      </w:r>
    </w:p>
    <w:p w:rsidR="00FA2731" w:rsidRDefault="00FA2731" w:rsidP="009766BA">
      <w:pPr>
        <w:jc w:val="center"/>
        <w:rPr>
          <w:rFonts w:ascii="Calibri" w:eastAsia="Times New Roman" w:hAnsi="Calibri"/>
          <w:b/>
          <w:sz w:val="22"/>
          <w:szCs w:val="22"/>
        </w:rPr>
      </w:pPr>
    </w:p>
    <w:p w:rsidR="00EC6561" w:rsidRDefault="00460645" w:rsidP="00FA2731">
      <w:pPr>
        <w:rPr>
          <w:rFonts w:ascii="Calibri" w:eastAsia="Times New Roman" w:hAnsi="Calibri"/>
          <w:b/>
          <w:sz w:val="22"/>
          <w:szCs w:val="22"/>
        </w:rPr>
      </w:pPr>
      <w:r>
        <w:rPr>
          <w:rFonts w:ascii="Calibri" w:eastAsia="Times New Roman" w:hAnsi="Calibri"/>
          <w:b/>
          <w:sz w:val="22"/>
          <w:szCs w:val="22"/>
        </w:rPr>
        <w:t>Session</w:t>
      </w:r>
      <w:r w:rsidR="00EC6561">
        <w:rPr>
          <w:rFonts w:ascii="Calibri" w:eastAsia="Times New Roman" w:hAnsi="Calibri"/>
          <w:b/>
          <w:sz w:val="22"/>
          <w:szCs w:val="22"/>
        </w:rPr>
        <w:t xml:space="preserve"> description</w:t>
      </w:r>
      <w:r w:rsidR="00F34599">
        <w:rPr>
          <w:rFonts w:ascii="Calibri" w:eastAsia="Times New Roman" w:hAnsi="Calibri"/>
          <w:b/>
          <w:sz w:val="22"/>
          <w:szCs w:val="22"/>
        </w:rPr>
        <w:t xml:space="preserve"> in program</w:t>
      </w:r>
    </w:p>
    <w:p w:rsidR="00EC6561" w:rsidRDefault="00EC6561" w:rsidP="00FA2731">
      <w:pPr>
        <w:rPr>
          <w:rFonts w:ascii="Calibri" w:eastAsia="Times New Roman" w:hAnsi="Calibri"/>
          <w:b/>
          <w:sz w:val="22"/>
          <w:szCs w:val="22"/>
        </w:rPr>
      </w:pPr>
    </w:p>
    <w:p w:rsidR="00EC6561" w:rsidRPr="00EC6561" w:rsidRDefault="00EC6561" w:rsidP="00FA2731">
      <w:pPr>
        <w:rPr>
          <w:rFonts w:ascii="Calibri" w:eastAsia="Times New Roman" w:hAnsi="Calibri"/>
          <w:sz w:val="22"/>
          <w:szCs w:val="22"/>
        </w:rPr>
      </w:pPr>
      <w:r w:rsidRPr="00EC6561">
        <w:rPr>
          <w:rFonts w:ascii="Calibri" w:eastAsia="Times New Roman" w:hAnsi="Calibri"/>
          <w:sz w:val="22"/>
          <w:szCs w:val="22"/>
        </w:rPr>
        <w:t>I</w:t>
      </w:r>
      <w:r w:rsidR="00B12EE1">
        <w:rPr>
          <w:rFonts w:ascii="Calibri" w:eastAsia="Times New Roman" w:hAnsi="Calibri"/>
          <w:sz w:val="22"/>
          <w:szCs w:val="22"/>
        </w:rPr>
        <w:t>nternational  Stand</w:t>
      </w:r>
      <w:r w:rsidR="00460645">
        <w:rPr>
          <w:rFonts w:ascii="Calibri" w:eastAsia="Times New Roman" w:hAnsi="Calibri"/>
          <w:sz w:val="22"/>
          <w:szCs w:val="22"/>
        </w:rPr>
        <w:t>ards of Actuarial Practice - A P</w:t>
      </w:r>
      <w:r w:rsidR="00B12EE1">
        <w:rPr>
          <w:rFonts w:ascii="Calibri" w:eastAsia="Times New Roman" w:hAnsi="Calibri"/>
          <w:sz w:val="22"/>
          <w:szCs w:val="22"/>
        </w:rPr>
        <w:t>rimer</w:t>
      </w:r>
    </w:p>
    <w:p w:rsidR="00EC6561" w:rsidRDefault="00EC6561" w:rsidP="00FA2731">
      <w:pPr>
        <w:rPr>
          <w:rFonts w:ascii="Calibri" w:eastAsia="Times New Roman" w:hAnsi="Calibri"/>
          <w:b/>
          <w:sz w:val="22"/>
          <w:szCs w:val="22"/>
        </w:rPr>
      </w:pPr>
    </w:p>
    <w:p w:rsidR="00EC6561" w:rsidRDefault="00EC6561" w:rsidP="00EC6561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A strategic objective of the International Actuarial Association is to p</w:t>
      </w:r>
      <w:r w:rsidRPr="00EC6561">
        <w:rPr>
          <w:rFonts w:ascii="Calibri" w:eastAsia="Times New Roman" w:hAnsi="Calibri"/>
          <w:sz w:val="22"/>
          <w:szCs w:val="22"/>
        </w:rPr>
        <w:t xml:space="preserve">romote the </w:t>
      </w:r>
      <w:r>
        <w:rPr>
          <w:rFonts w:ascii="Calibri" w:eastAsia="Times New Roman" w:hAnsi="Calibri"/>
          <w:sz w:val="22"/>
          <w:szCs w:val="22"/>
        </w:rPr>
        <w:t xml:space="preserve">issuance of actuarial </w:t>
      </w:r>
      <w:r w:rsidRPr="00EC6561">
        <w:rPr>
          <w:rFonts w:ascii="Calibri" w:eastAsia="Times New Roman" w:hAnsi="Calibri"/>
          <w:sz w:val="22"/>
          <w:szCs w:val="22"/>
        </w:rPr>
        <w:t xml:space="preserve">standards in the jurisdictions of all </w:t>
      </w:r>
      <w:r w:rsidR="008218EF">
        <w:rPr>
          <w:rFonts w:ascii="Calibri" w:eastAsia="Times New Roman" w:hAnsi="Calibri"/>
          <w:sz w:val="22"/>
          <w:szCs w:val="22"/>
        </w:rPr>
        <w:t>IAA</w:t>
      </w:r>
      <w:r w:rsidRPr="00EC6561">
        <w:rPr>
          <w:rFonts w:ascii="Calibri" w:eastAsia="Times New Roman" w:hAnsi="Calibri"/>
          <w:sz w:val="22"/>
          <w:szCs w:val="22"/>
        </w:rPr>
        <w:t xml:space="preserve"> Memb</w:t>
      </w:r>
      <w:r>
        <w:rPr>
          <w:rFonts w:ascii="Calibri" w:eastAsia="Times New Roman" w:hAnsi="Calibri"/>
          <w:sz w:val="22"/>
          <w:szCs w:val="22"/>
        </w:rPr>
        <w:t xml:space="preserve">er Associations, and the global convergence of </w:t>
      </w:r>
      <w:r w:rsidRPr="00EC6561">
        <w:rPr>
          <w:rFonts w:ascii="Calibri" w:eastAsia="Times New Roman" w:hAnsi="Calibri"/>
          <w:sz w:val="22"/>
          <w:szCs w:val="22"/>
        </w:rPr>
        <w:t>actuarial standards.</w:t>
      </w:r>
      <w:r w:rsidR="008218EF">
        <w:rPr>
          <w:rFonts w:ascii="Calibri" w:eastAsia="Times New Roman" w:hAnsi="Calibri"/>
          <w:sz w:val="22"/>
          <w:szCs w:val="22"/>
        </w:rPr>
        <w:t xml:space="preserve"> </w:t>
      </w:r>
      <w:r>
        <w:rPr>
          <w:rFonts w:ascii="Calibri" w:eastAsia="Times New Roman" w:hAnsi="Calibri"/>
          <w:sz w:val="22"/>
          <w:szCs w:val="22"/>
        </w:rPr>
        <w:t xml:space="preserve">  To assist in the achievement of this objective, it has created the Actuarial Standards Committee for the purpose of producing standards, International Standards of Actuarial Practice</w:t>
      </w:r>
      <w:r w:rsidR="00B12EE1">
        <w:rPr>
          <w:rFonts w:ascii="Calibri" w:eastAsia="Times New Roman" w:hAnsi="Calibri"/>
          <w:sz w:val="22"/>
          <w:szCs w:val="22"/>
        </w:rPr>
        <w:t xml:space="preserve"> (ISAPs)</w:t>
      </w:r>
      <w:r>
        <w:rPr>
          <w:rFonts w:ascii="Calibri" w:eastAsia="Times New Roman" w:hAnsi="Calibri"/>
          <w:sz w:val="22"/>
          <w:szCs w:val="22"/>
        </w:rPr>
        <w:t>, to serve primarily as models.  This session will cover:</w:t>
      </w:r>
    </w:p>
    <w:p w:rsidR="00EC6561" w:rsidRDefault="00EC6561" w:rsidP="00EC6561">
      <w:pPr>
        <w:rPr>
          <w:rFonts w:ascii="Calibri" w:eastAsia="Times New Roman" w:hAnsi="Calibri"/>
          <w:sz w:val="22"/>
          <w:szCs w:val="22"/>
        </w:rPr>
      </w:pPr>
    </w:p>
    <w:p w:rsidR="00164678" w:rsidRDefault="00164678" w:rsidP="00EC6561">
      <w:pPr>
        <w:pStyle w:val="ListParagraph"/>
        <w:numPr>
          <w:ilvl w:val="0"/>
          <w:numId w:val="1"/>
        </w:numPr>
        <w:ind w:left="360"/>
        <w:rPr>
          <w:rFonts w:ascii="Calibri" w:eastAsia="Times New Roman" w:hAnsi="Calibri"/>
          <w:sz w:val="22"/>
          <w:szCs w:val="22"/>
        </w:rPr>
      </w:pPr>
      <w:r w:rsidRPr="00164678">
        <w:rPr>
          <w:rFonts w:ascii="Calibri" w:eastAsia="Times New Roman" w:hAnsi="Calibri"/>
          <w:sz w:val="22"/>
          <w:szCs w:val="22"/>
        </w:rPr>
        <w:t xml:space="preserve">IAA Strategy for ISAPs </w:t>
      </w:r>
    </w:p>
    <w:p w:rsidR="00EC6561" w:rsidRPr="00164678" w:rsidRDefault="00EC6561" w:rsidP="00EC6561">
      <w:pPr>
        <w:pStyle w:val="ListParagraph"/>
        <w:numPr>
          <w:ilvl w:val="0"/>
          <w:numId w:val="1"/>
        </w:numPr>
        <w:ind w:left="360"/>
        <w:rPr>
          <w:rFonts w:ascii="Calibri" w:eastAsia="Times New Roman" w:hAnsi="Calibri"/>
          <w:sz w:val="22"/>
          <w:szCs w:val="22"/>
        </w:rPr>
      </w:pPr>
      <w:r w:rsidRPr="00164678">
        <w:rPr>
          <w:rFonts w:ascii="Calibri" w:eastAsia="Times New Roman" w:hAnsi="Calibri"/>
          <w:sz w:val="22"/>
          <w:szCs w:val="22"/>
        </w:rPr>
        <w:t>The role of ISAPs (International Standards of Actuarial Practice)</w:t>
      </w:r>
      <w:r w:rsidR="00164678" w:rsidRPr="00164678">
        <w:rPr>
          <w:rFonts w:ascii="Calibri" w:eastAsia="Times New Roman" w:hAnsi="Calibri"/>
          <w:sz w:val="22"/>
          <w:szCs w:val="22"/>
        </w:rPr>
        <w:t xml:space="preserve"> as models for national standard-setters and as standards themselves where designated in particular assignments</w:t>
      </w:r>
    </w:p>
    <w:p w:rsidR="00164678" w:rsidRDefault="00164678" w:rsidP="00EC6561">
      <w:pPr>
        <w:pStyle w:val="ListParagraph"/>
        <w:numPr>
          <w:ilvl w:val="0"/>
          <w:numId w:val="1"/>
        </w:numPr>
        <w:ind w:left="360"/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ISAPs in contrast with International Actuarial Notes (IANs)</w:t>
      </w:r>
    </w:p>
    <w:p w:rsidR="00164678" w:rsidRPr="00591296" w:rsidRDefault="00164678" w:rsidP="00EC6561">
      <w:pPr>
        <w:pStyle w:val="ListParagraph"/>
        <w:numPr>
          <w:ilvl w:val="0"/>
          <w:numId w:val="1"/>
        </w:numPr>
        <w:ind w:left="360"/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The consultation process (“due process”)</w:t>
      </w:r>
    </w:p>
    <w:p w:rsidR="00EC6561" w:rsidRPr="00591296" w:rsidRDefault="00EC6561" w:rsidP="00EC6561">
      <w:pPr>
        <w:pStyle w:val="ListParagraph"/>
        <w:numPr>
          <w:ilvl w:val="0"/>
          <w:numId w:val="1"/>
        </w:numPr>
        <w:ind w:left="360"/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An u</w:t>
      </w:r>
      <w:r w:rsidRPr="00591296">
        <w:rPr>
          <w:rFonts w:ascii="Calibri" w:eastAsia="Times New Roman" w:hAnsi="Calibri"/>
          <w:sz w:val="22"/>
          <w:szCs w:val="22"/>
        </w:rPr>
        <w:t>pdate on activity (final standards, exposure drafts, statements of intent, and status of each)</w:t>
      </w:r>
    </w:p>
    <w:p w:rsidR="00EC6561" w:rsidRDefault="00164678" w:rsidP="00EC6561">
      <w:pPr>
        <w:pStyle w:val="ListParagraph"/>
        <w:numPr>
          <w:ilvl w:val="0"/>
          <w:numId w:val="1"/>
        </w:numPr>
        <w:ind w:left="360"/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A</w:t>
      </w:r>
      <w:r w:rsidR="00EC6561" w:rsidRPr="00591296">
        <w:rPr>
          <w:rFonts w:ascii="Calibri" w:eastAsia="Times New Roman" w:hAnsi="Calibri"/>
          <w:sz w:val="22"/>
          <w:szCs w:val="22"/>
        </w:rPr>
        <w:t xml:space="preserve">ctuarial standard-setters </w:t>
      </w:r>
      <w:r w:rsidR="00DF0193">
        <w:rPr>
          <w:rFonts w:ascii="Calibri" w:eastAsia="Times New Roman" w:hAnsi="Calibri"/>
          <w:sz w:val="22"/>
          <w:szCs w:val="22"/>
        </w:rPr>
        <w:t xml:space="preserve">and IAA member associations </w:t>
      </w:r>
      <w:r w:rsidR="00EC6561" w:rsidRPr="00591296">
        <w:rPr>
          <w:rFonts w:ascii="Calibri" w:eastAsia="Times New Roman" w:hAnsi="Calibri"/>
          <w:sz w:val="22"/>
          <w:szCs w:val="22"/>
        </w:rPr>
        <w:t>around the world</w:t>
      </w:r>
      <w:r>
        <w:rPr>
          <w:rFonts w:ascii="Calibri" w:eastAsia="Times New Roman" w:hAnsi="Calibri"/>
          <w:sz w:val="22"/>
          <w:szCs w:val="22"/>
        </w:rPr>
        <w:t>:  actions taken with respect to ISAPs</w:t>
      </w:r>
      <w:r w:rsidR="0078354D">
        <w:rPr>
          <w:rFonts w:ascii="Calibri" w:eastAsia="Times New Roman" w:hAnsi="Calibri"/>
          <w:sz w:val="22"/>
          <w:szCs w:val="22"/>
        </w:rPr>
        <w:t xml:space="preserve">, </w:t>
      </w:r>
      <w:r w:rsidR="00CE390F">
        <w:rPr>
          <w:rFonts w:ascii="Calibri" w:eastAsia="Times New Roman" w:hAnsi="Calibri"/>
          <w:sz w:val="22"/>
          <w:szCs w:val="22"/>
        </w:rPr>
        <w:t>development of standards generally</w:t>
      </w:r>
      <w:r>
        <w:rPr>
          <w:rFonts w:ascii="Calibri" w:eastAsia="Times New Roman" w:hAnsi="Calibri"/>
          <w:sz w:val="22"/>
          <w:szCs w:val="22"/>
        </w:rPr>
        <w:t xml:space="preserve"> to date, and issues arising</w:t>
      </w:r>
    </w:p>
    <w:p w:rsidR="00EC6561" w:rsidRDefault="00EC6561" w:rsidP="00EC6561">
      <w:pPr>
        <w:rPr>
          <w:rFonts w:ascii="Calibri" w:eastAsia="Times New Roman" w:hAnsi="Calibri"/>
          <w:sz w:val="22"/>
          <w:szCs w:val="22"/>
        </w:rPr>
      </w:pPr>
    </w:p>
    <w:p w:rsidR="00460645" w:rsidRDefault="00460645" w:rsidP="00EC6561">
      <w:pPr>
        <w:rPr>
          <w:rFonts w:ascii="Calibri" w:eastAsia="Times New Roman" w:hAnsi="Calibri"/>
          <w:sz w:val="22"/>
          <w:szCs w:val="22"/>
        </w:rPr>
      </w:pPr>
    </w:p>
    <w:p w:rsidR="00460645" w:rsidRDefault="00F34599" w:rsidP="00EC6561">
      <w:pPr>
        <w:rPr>
          <w:rFonts w:ascii="Calibri" w:eastAsia="Times New Roman" w:hAnsi="Calibri"/>
          <w:b/>
          <w:sz w:val="22"/>
          <w:szCs w:val="22"/>
        </w:rPr>
      </w:pPr>
      <w:r w:rsidRPr="00F34599">
        <w:rPr>
          <w:rFonts w:ascii="Calibri" w:eastAsia="Times New Roman" w:hAnsi="Calibri"/>
          <w:b/>
          <w:sz w:val="22"/>
          <w:szCs w:val="22"/>
        </w:rPr>
        <w:t>Speaker order</w:t>
      </w:r>
      <w:r>
        <w:rPr>
          <w:rFonts w:ascii="Calibri" w:eastAsia="Times New Roman" w:hAnsi="Calibri"/>
          <w:b/>
          <w:sz w:val="22"/>
          <w:szCs w:val="22"/>
        </w:rPr>
        <w:t>, content,</w:t>
      </w:r>
      <w:r w:rsidRPr="00F34599">
        <w:rPr>
          <w:rFonts w:ascii="Calibri" w:eastAsia="Times New Roman" w:hAnsi="Calibri"/>
          <w:b/>
          <w:sz w:val="22"/>
          <w:szCs w:val="22"/>
        </w:rPr>
        <w:t xml:space="preserve"> and timing</w:t>
      </w:r>
    </w:p>
    <w:p w:rsidR="00F34599" w:rsidRDefault="00F34599" w:rsidP="00EC6561">
      <w:pPr>
        <w:rPr>
          <w:rFonts w:ascii="Calibri" w:eastAsia="Times New Roman" w:hAnsi="Calibri"/>
          <w:b/>
          <w:sz w:val="22"/>
          <w:szCs w:val="22"/>
        </w:rPr>
      </w:pPr>
    </w:p>
    <w:p w:rsidR="00F34599" w:rsidRDefault="00F34599" w:rsidP="00527718">
      <w:pPr>
        <w:pStyle w:val="ListParagraph"/>
        <w:numPr>
          <w:ilvl w:val="0"/>
          <w:numId w:val="8"/>
        </w:num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Opening comments and introduction of panel (</w:t>
      </w:r>
      <w:r w:rsidR="00C140A4">
        <w:rPr>
          <w:rFonts w:ascii="Calibri" w:eastAsia="Times New Roman" w:hAnsi="Calibri"/>
          <w:sz w:val="22"/>
          <w:szCs w:val="22"/>
        </w:rPr>
        <w:t xml:space="preserve">Dave – 3 </w:t>
      </w:r>
      <w:r>
        <w:rPr>
          <w:rFonts w:ascii="Calibri" w:eastAsia="Times New Roman" w:hAnsi="Calibri"/>
          <w:sz w:val="22"/>
          <w:szCs w:val="22"/>
        </w:rPr>
        <w:t xml:space="preserve"> minutes)</w:t>
      </w:r>
    </w:p>
    <w:p w:rsidR="00527718" w:rsidRPr="00C140A4" w:rsidRDefault="00527718" w:rsidP="00C140A4">
      <w:pPr>
        <w:pStyle w:val="ListParagraph"/>
        <w:numPr>
          <w:ilvl w:val="0"/>
          <w:numId w:val="8"/>
        </w:numPr>
        <w:rPr>
          <w:rFonts w:ascii="Calibri" w:eastAsia="Times New Roman" w:hAnsi="Calibri"/>
          <w:sz w:val="22"/>
          <w:szCs w:val="22"/>
        </w:rPr>
      </w:pPr>
      <w:r w:rsidRPr="00164678">
        <w:rPr>
          <w:rFonts w:ascii="Calibri" w:eastAsia="Times New Roman" w:hAnsi="Calibri"/>
          <w:sz w:val="22"/>
          <w:szCs w:val="22"/>
        </w:rPr>
        <w:t>IAA Strategy for ISAPs</w:t>
      </w:r>
      <w:r w:rsidR="00C140A4">
        <w:rPr>
          <w:rFonts w:ascii="Calibri" w:eastAsia="Times New Roman" w:hAnsi="Calibri"/>
          <w:sz w:val="22"/>
          <w:szCs w:val="22"/>
        </w:rPr>
        <w:t xml:space="preserve">; </w:t>
      </w:r>
      <w:r w:rsidRPr="00164678">
        <w:rPr>
          <w:rFonts w:ascii="Calibri" w:eastAsia="Times New Roman" w:hAnsi="Calibri"/>
          <w:sz w:val="22"/>
          <w:szCs w:val="22"/>
        </w:rPr>
        <w:t xml:space="preserve"> </w:t>
      </w:r>
      <w:r w:rsidRPr="00C140A4">
        <w:rPr>
          <w:rFonts w:ascii="Calibri" w:eastAsia="Times New Roman" w:hAnsi="Calibri"/>
          <w:sz w:val="22"/>
          <w:szCs w:val="22"/>
        </w:rPr>
        <w:t>ISAPs in contrast with International Actuarial Notes (IANs)</w:t>
      </w:r>
      <w:r w:rsidR="00C140A4">
        <w:rPr>
          <w:rFonts w:ascii="Calibri" w:eastAsia="Times New Roman" w:hAnsi="Calibri"/>
          <w:sz w:val="22"/>
          <w:szCs w:val="22"/>
        </w:rPr>
        <w:t>; T</w:t>
      </w:r>
      <w:r w:rsidRPr="00C140A4">
        <w:rPr>
          <w:rFonts w:ascii="Calibri" w:eastAsia="Times New Roman" w:hAnsi="Calibri"/>
          <w:sz w:val="22"/>
          <w:szCs w:val="22"/>
        </w:rPr>
        <w:t>he consultation process (“due process”)</w:t>
      </w:r>
      <w:r w:rsidR="00C140A4">
        <w:rPr>
          <w:rFonts w:ascii="Calibri" w:eastAsia="Times New Roman" w:hAnsi="Calibri"/>
          <w:sz w:val="22"/>
          <w:szCs w:val="22"/>
        </w:rPr>
        <w:t xml:space="preserve"> (Peter – 15 minutes)</w:t>
      </w:r>
    </w:p>
    <w:p w:rsidR="00527718" w:rsidRPr="00C140A4" w:rsidRDefault="00527718" w:rsidP="00C140A4">
      <w:pPr>
        <w:pStyle w:val="ListParagraph"/>
        <w:numPr>
          <w:ilvl w:val="0"/>
          <w:numId w:val="8"/>
        </w:numPr>
        <w:rPr>
          <w:rFonts w:ascii="Calibri" w:eastAsia="Times New Roman" w:hAnsi="Calibri"/>
          <w:sz w:val="22"/>
          <w:szCs w:val="22"/>
        </w:rPr>
      </w:pPr>
      <w:r w:rsidRPr="00164678">
        <w:rPr>
          <w:rFonts w:ascii="Calibri" w:eastAsia="Times New Roman" w:hAnsi="Calibri"/>
          <w:sz w:val="22"/>
          <w:szCs w:val="22"/>
        </w:rPr>
        <w:t>The role of ISAPs (International Standards of Actuarial Practice) as models for national standard-setters and as standards themselves where designated in particular assignments</w:t>
      </w:r>
      <w:r w:rsidR="00C140A4">
        <w:rPr>
          <w:rFonts w:ascii="Calibri" w:eastAsia="Times New Roman" w:hAnsi="Calibri"/>
          <w:sz w:val="22"/>
          <w:szCs w:val="22"/>
        </w:rPr>
        <w:t xml:space="preserve">; </w:t>
      </w:r>
      <w:r w:rsidRPr="00C140A4">
        <w:rPr>
          <w:rFonts w:ascii="Calibri" w:eastAsia="Times New Roman" w:hAnsi="Calibri"/>
          <w:sz w:val="22"/>
          <w:szCs w:val="22"/>
        </w:rPr>
        <w:t>An update on activity (final standards, exposure drafts, statements of intent, and status of each)</w:t>
      </w:r>
      <w:r w:rsidR="00C140A4">
        <w:rPr>
          <w:rFonts w:ascii="Calibri" w:eastAsia="Times New Roman" w:hAnsi="Calibri"/>
          <w:sz w:val="22"/>
          <w:szCs w:val="22"/>
        </w:rPr>
        <w:t xml:space="preserve"> (Dave – 10 minutes)</w:t>
      </w:r>
    </w:p>
    <w:p w:rsidR="00527718" w:rsidRDefault="00527718" w:rsidP="00F34599">
      <w:pPr>
        <w:pStyle w:val="ListParagraph"/>
        <w:numPr>
          <w:ilvl w:val="0"/>
          <w:numId w:val="8"/>
        </w:num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 xml:space="preserve">Perspective on ISAPs </w:t>
      </w:r>
      <w:r w:rsidR="00EF7D17">
        <w:rPr>
          <w:rFonts w:ascii="Calibri" w:eastAsia="Times New Roman" w:hAnsi="Calibri"/>
          <w:sz w:val="22"/>
          <w:szCs w:val="22"/>
        </w:rPr>
        <w:t>from several</w:t>
      </w:r>
      <w:r>
        <w:rPr>
          <w:rFonts w:ascii="Calibri" w:eastAsia="Times New Roman" w:hAnsi="Calibri"/>
          <w:sz w:val="22"/>
          <w:szCs w:val="22"/>
        </w:rPr>
        <w:t xml:space="preserve"> standard-setters and member associations</w:t>
      </w:r>
      <w:r w:rsidR="00C140A4">
        <w:rPr>
          <w:rFonts w:ascii="Calibri" w:eastAsia="Times New Roman" w:hAnsi="Calibri"/>
          <w:sz w:val="22"/>
          <w:szCs w:val="22"/>
        </w:rPr>
        <w:t xml:space="preserve"> (50 minutes)</w:t>
      </w:r>
    </w:p>
    <w:p w:rsidR="00527718" w:rsidRDefault="00527718" w:rsidP="00C140A4">
      <w:pPr>
        <w:pStyle w:val="ListParagraph"/>
        <w:numPr>
          <w:ilvl w:val="1"/>
          <w:numId w:val="8"/>
        </w:num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Bob (USA)</w:t>
      </w:r>
    </w:p>
    <w:p w:rsidR="00527718" w:rsidRDefault="00527718" w:rsidP="00C140A4">
      <w:pPr>
        <w:pStyle w:val="ListParagraph"/>
        <w:numPr>
          <w:ilvl w:val="1"/>
          <w:numId w:val="8"/>
        </w:num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Chris (</w:t>
      </w:r>
      <w:r w:rsidR="00B87A96">
        <w:rPr>
          <w:rFonts w:ascii="Calibri" w:eastAsia="Times New Roman" w:hAnsi="Calibri"/>
          <w:sz w:val="22"/>
          <w:szCs w:val="22"/>
        </w:rPr>
        <w:t>Actuarial Association of Europe</w:t>
      </w:r>
      <w:bookmarkStart w:id="0" w:name="_GoBack"/>
      <w:bookmarkEnd w:id="0"/>
      <w:r>
        <w:rPr>
          <w:rFonts w:ascii="Calibri" w:eastAsia="Times New Roman" w:hAnsi="Calibri"/>
          <w:sz w:val="22"/>
          <w:szCs w:val="22"/>
        </w:rPr>
        <w:t>)</w:t>
      </w:r>
    </w:p>
    <w:p w:rsidR="00527718" w:rsidRDefault="00527718" w:rsidP="00C140A4">
      <w:pPr>
        <w:pStyle w:val="ListParagraph"/>
        <w:numPr>
          <w:ilvl w:val="1"/>
          <w:numId w:val="8"/>
        </w:num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Neil (Caribbean)</w:t>
      </w:r>
    </w:p>
    <w:p w:rsidR="00527718" w:rsidRDefault="00527718" w:rsidP="00C140A4">
      <w:pPr>
        <w:pStyle w:val="ListParagraph"/>
        <w:numPr>
          <w:ilvl w:val="1"/>
          <w:numId w:val="8"/>
        </w:num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Peter (South Africa)</w:t>
      </w:r>
    </w:p>
    <w:p w:rsidR="00527718" w:rsidRDefault="00527718" w:rsidP="00C140A4">
      <w:pPr>
        <w:pStyle w:val="ListParagraph"/>
        <w:numPr>
          <w:ilvl w:val="1"/>
          <w:numId w:val="8"/>
        </w:num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Dave (Canada)</w:t>
      </w:r>
    </w:p>
    <w:p w:rsidR="00527718" w:rsidRDefault="00C140A4" w:rsidP="00527718">
      <w:pPr>
        <w:pStyle w:val="ListParagraph"/>
        <w:numPr>
          <w:ilvl w:val="0"/>
          <w:numId w:val="8"/>
        </w:num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Questions from the floor, and further comments from the panel on views expressed by the other speakers</w:t>
      </w:r>
      <w:r w:rsidR="009F011E">
        <w:rPr>
          <w:rFonts w:ascii="Calibri" w:eastAsia="Times New Roman" w:hAnsi="Calibri"/>
          <w:sz w:val="22"/>
          <w:szCs w:val="22"/>
        </w:rPr>
        <w:t xml:space="preserve"> (Dave</w:t>
      </w:r>
      <w:r w:rsidR="00AF04B4">
        <w:rPr>
          <w:rFonts w:ascii="Calibri" w:eastAsia="Times New Roman" w:hAnsi="Calibri"/>
          <w:sz w:val="22"/>
          <w:szCs w:val="22"/>
        </w:rPr>
        <w:t xml:space="preserve"> as moderator</w:t>
      </w:r>
      <w:r w:rsidR="009F011E">
        <w:rPr>
          <w:rFonts w:ascii="Calibri" w:eastAsia="Times New Roman" w:hAnsi="Calibri"/>
          <w:sz w:val="22"/>
          <w:szCs w:val="22"/>
        </w:rPr>
        <w:t xml:space="preserve"> – 10 minutes)</w:t>
      </w:r>
    </w:p>
    <w:p w:rsidR="00C140A4" w:rsidRDefault="00C140A4" w:rsidP="00527718">
      <w:pPr>
        <w:pStyle w:val="ListParagraph"/>
        <w:numPr>
          <w:ilvl w:val="0"/>
          <w:numId w:val="8"/>
        </w:num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Closure (Dave – 2 minutes )</w:t>
      </w:r>
    </w:p>
    <w:p w:rsidR="00F34599" w:rsidRPr="009F011E" w:rsidRDefault="00F34599" w:rsidP="009F011E">
      <w:pPr>
        <w:rPr>
          <w:rFonts w:ascii="Calibri" w:eastAsia="Times New Roman" w:hAnsi="Calibri"/>
          <w:sz w:val="22"/>
          <w:szCs w:val="22"/>
        </w:rPr>
      </w:pPr>
    </w:p>
    <w:p w:rsidR="00460645" w:rsidRPr="00F34599" w:rsidRDefault="00460645" w:rsidP="00EC6561">
      <w:pPr>
        <w:rPr>
          <w:rFonts w:ascii="Calibri" w:eastAsia="Times New Roman" w:hAnsi="Calibri"/>
          <w:sz w:val="22"/>
          <w:szCs w:val="22"/>
        </w:rPr>
      </w:pPr>
    </w:p>
    <w:p w:rsidR="00CF79EC" w:rsidRDefault="00485CB4" w:rsidP="000A7FF5">
      <w:pPr>
        <w:rPr>
          <w:rFonts w:ascii="Verdana" w:eastAsia="Times New Roman" w:hAnsi="Verdana"/>
          <w:b/>
          <w:bCs/>
          <w:color w:val="000000"/>
          <w:sz w:val="20"/>
          <w:szCs w:val="20"/>
        </w:rPr>
      </w:pPr>
      <w:r>
        <w:rPr>
          <w:rFonts w:ascii="Verdana" w:eastAsia="Times New Roman" w:hAnsi="Verdana"/>
          <w:b/>
          <w:bCs/>
          <w:color w:val="000000"/>
          <w:sz w:val="20"/>
          <w:szCs w:val="20"/>
        </w:rPr>
        <w:t>Speakers as listed in the program</w:t>
      </w:r>
    </w:p>
    <w:p w:rsidR="00485CB4" w:rsidRDefault="00485CB4" w:rsidP="000A7FF5">
      <w:pPr>
        <w:rPr>
          <w:rFonts w:ascii="Verdana" w:eastAsia="Times New Roman" w:hAnsi="Verdana"/>
          <w:b/>
          <w:bCs/>
          <w:color w:val="000000"/>
          <w:sz w:val="20"/>
          <w:szCs w:val="20"/>
        </w:rPr>
      </w:pPr>
    </w:p>
    <w:p w:rsidR="00CF79EC" w:rsidRDefault="00CF79EC" w:rsidP="000A7FF5">
      <w:pPr>
        <w:rPr>
          <w:rFonts w:ascii="Verdana" w:eastAsia="Times New Roman" w:hAnsi="Verdana"/>
          <w:b/>
          <w:bCs/>
          <w:color w:val="000000"/>
          <w:sz w:val="20"/>
          <w:szCs w:val="20"/>
        </w:rPr>
      </w:pPr>
    </w:p>
    <w:p w:rsidR="00CF79EC" w:rsidRDefault="00CF79EC" w:rsidP="000A7FF5">
      <w:pPr>
        <w:rPr>
          <w:rFonts w:ascii="Verdana" w:eastAsia="Times New Roman" w:hAnsi="Verdana"/>
          <w:b/>
          <w:bCs/>
          <w:color w:val="000000"/>
          <w:sz w:val="20"/>
          <w:szCs w:val="20"/>
        </w:rPr>
      </w:pPr>
    </w:p>
    <w:p w:rsidR="00CF79EC" w:rsidRDefault="00CF79EC" w:rsidP="000A7FF5">
      <w:pPr>
        <w:rPr>
          <w:rFonts w:ascii="Verdana" w:eastAsia="Times New Roman" w:hAnsi="Verdana"/>
          <w:b/>
          <w:bCs/>
          <w:color w:val="000000"/>
          <w:sz w:val="20"/>
          <w:szCs w:val="20"/>
        </w:rPr>
      </w:pPr>
    </w:p>
    <w:p w:rsidR="000A7FF5" w:rsidRPr="000A7FF5" w:rsidRDefault="000A7FF5" w:rsidP="000A7FF5">
      <w:pPr>
        <w:rPr>
          <w:rFonts w:ascii="Verdana" w:eastAsia="Times New Roman" w:hAnsi="Verdana"/>
          <w:b/>
          <w:bCs/>
          <w:color w:val="000000"/>
          <w:sz w:val="20"/>
          <w:szCs w:val="20"/>
        </w:rPr>
      </w:pPr>
      <w:r w:rsidRPr="000A7FF5">
        <w:rPr>
          <w:rFonts w:ascii="Verdana" w:eastAsia="Times New Roman" w:hAnsi="Verdana"/>
          <w:b/>
          <w:bCs/>
          <w:color w:val="000000"/>
          <w:sz w:val="20"/>
          <w:szCs w:val="20"/>
        </w:rPr>
        <w:lastRenderedPageBreak/>
        <w:t>#2502: Daykin</w:t>
      </w:r>
    </w:p>
    <w:p w:rsidR="000A7FF5" w:rsidRPr="000A7FF5" w:rsidRDefault="00B10032" w:rsidP="000A7FF5">
      <w:pPr>
        <w:rPr>
          <w:rFonts w:ascii="Verdana" w:eastAsia="Times New Roman" w:hAnsi="Verdana"/>
          <w:color w:val="000000"/>
          <w:sz w:val="20"/>
          <w:szCs w:val="20"/>
        </w:rPr>
      </w:pPr>
      <w:hyperlink r:id="rId8" w:history="1">
        <w:r w:rsidR="000A7FF5" w:rsidRPr="000A7FF5">
          <w:rPr>
            <w:rFonts w:ascii="Verdana" w:eastAsia="Times New Roman" w:hAnsi="Verdana"/>
            <w:b/>
            <w:bCs/>
            <w:color w:val="718BAD"/>
            <w:sz w:val="20"/>
            <w:szCs w:val="20"/>
            <w:u w:val="single"/>
          </w:rPr>
          <w:t>Chris Daykin</w:t>
        </w:r>
      </w:hyperlink>
      <w:r w:rsidR="000A7FF5" w:rsidRPr="000A7FF5">
        <w:rPr>
          <w:rFonts w:ascii="Verdana" w:eastAsia="Times New Roman" w:hAnsi="Verdana"/>
          <w:color w:val="000000"/>
          <w:sz w:val="20"/>
          <w:szCs w:val="20"/>
        </w:rPr>
        <w:t>, C</w:t>
      </w:r>
      <w:r w:rsidR="00A17E8A">
        <w:rPr>
          <w:rFonts w:ascii="Verdana" w:eastAsia="Times New Roman" w:hAnsi="Verdana"/>
          <w:color w:val="000000"/>
          <w:sz w:val="20"/>
          <w:szCs w:val="20"/>
        </w:rPr>
        <w:t>onvenor</w:t>
      </w:r>
      <w:r w:rsidR="000A7FF5" w:rsidRPr="000A7FF5">
        <w:rPr>
          <w:rFonts w:ascii="Verdana" w:eastAsia="Times New Roman" w:hAnsi="Verdana"/>
          <w:color w:val="000000"/>
          <w:sz w:val="20"/>
          <w:szCs w:val="20"/>
        </w:rPr>
        <w:t xml:space="preserve">, Standards Project Team, </w:t>
      </w:r>
      <w:r w:rsidR="00A17E8A">
        <w:rPr>
          <w:rFonts w:ascii="Verdana" w:eastAsia="Times New Roman" w:hAnsi="Verdana"/>
          <w:color w:val="000000"/>
          <w:sz w:val="20"/>
          <w:szCs w:val="20"/>
        </w:rPr>
        <w:t>Actuarial Association of Europe</w:t>
      </w:r>
    </w:p>
    <w:p w:rsidR="000A7FF5" w:rsidRPr="000A7FF5" w:rsidRDefault="000A7FF5" w:rsidP="000A7FF5">
      <w:pPr>
        <w:rPr>
          <w:rFonts w:ascii="Verdana" w:eastAsia="Times New Roman" w:hAnsi="Verdana"/>
          <w:color w:val="000000"/>
          <w:sz w:val="20"/>
          <w:szCs w:val="20"/>
        </w:rPr>
      </w:pPr>
    </w:p>
    <w:p w:rsidR="000A7FF5" w:rsidRPr="000A7FF5" w:rsidRDefault="000A7FF5" w:rsidP="000A7FF5">
      <w:pPr>
        <w:rPr>
          <w:rFonts w:ascii="Verdana" w:eastAsia="Times New Roman" w:hAnsi="Verdana"/>
          <w:b/>
          <w:bCs/>
          <w:color w:val="000000"/>
          <w:sz w:val="20"/>
          <w:szCs w:val="20"/>
        </w:rPr>
      </w:pPr>
      <w:r w:rsidRPr="000A7FF5">
        <w:rPr>
          <w:rFonts w:ascii="Verdana" w:eastAsia="Times New Roman" w:hAnsi="Verdana"/>
          <w:b/>
          <w:bCs/>
          <w:color w:val="000000"/>
          <w:sz w:val="20"/>
          <w:szCs w:val="20"/>
        </w:rPr>
        <w:t>#2503: Dingwall</w:t>
      </w:r>
    </w:p>
    <w:p w:rsidR="000A7FF5" w:rsidRPr="000A7FF5" w:rsidRDefault="00B10032" w:rsidP="000A7FF5">
      <w:pPr>
        <w:rPr>
          <w:rFonts w:ascii="Verdana" w:eastAsia="Times New Roman" w:hAnsi="Verdana"/>
          <w:color w:val="000000"/>
          <w:sz w:val="20"/>
          <w:szCs w:val="20"/>
        </w:rPr>
      </w:pPr>
      <w:hyperlink r:id="rId9" w:history="1">
        <w:r w:rsidR="000A7FF5" w:rsidRPr="000A7FF5">
          <w:rPr>
            <w:rFonts w:ascii="Verdana" w:eastAsia="Times New Roman" w:hAnsi="Verdana"/>
            <w:b/>
            <w:bCs/>
            <w:color w:val="718BAD"/>
            <w:sz w:val="20"/>
            <w:szCs w:val="20"/>
            <w:u w:val="single"/>
          </w:rPr>
          <w:t>Neil Dingwall</w:t>
        </w:r>
      </w:hyperlink>
      <w:r w:rsidR="000A7FF5" w:rsidRPr="000A7FF5">
        <w:rPr>
          <w:rFonts w:ascii="Verdana" w:eastAsia="Times New Roman" w:hAnsi="Verdana"/>
          <w:color w:val="000000"/>
          <w:sz w:val="20"/>
          <w:szCs w:val="20"/>
        </w:rPr>
        <w:t>, President, Caribbean Actuarial Association</w:t>
      </w:r>
    </w:p>
    <w:p w:rsidR="000A7FF5" w:rsidRPr="000A7FF5" w:rsidRDefault="000A7FF5" w:rsidP="000A7FF5">
      <w:pPr>
        <w:rPr>
          <w:rFonts w:ascii="Verdana" w:eastAsia="Times New Roman" w:hAnsi="Verdana"/>
          <w:color w:val="000000"/>
          <w:sz w:val="20"/>
          <w:szCs w:val="20"/>
        </w:rPr>
      </w:pPr>
    </w:p>
    <w:p w:rsidR="000A7FF5" w:rsidRPr="000A7FF5" w:rsidRDefault="000A7FF5" w:rsidP="000A7FF5">
      <w:pPr>
        <w:rPr>
          <w:rFonts w:ascii="Verdana" w:eastAsia="Times New Roman" w:hAnsi="Verdana"/>
          <w:b/>
          <w:bCs/>
          <w:color w:val="000000"/>
          <w:sz w:val="20"/>
          <w:szCs w:val="20"/>
        </w:rPr>
      </w:pPr>
      <w:r w:rsidRPr="000A7FF5">
        <w:rPr>
          <w:rFonts w:ascii="Verdana" w:eastAsia="Times New Roman" w:hAnsi="Verdana"/>
          <w:b/>
          <w:bCs/>
          <w:color w:val="000000"/>
          <w:sz w:val="20"/>
          <w:szCs w:val="20"/>
        </w:rPr>
        <w:t>#2501: Doyle</w:t>
      </w:r>
    </w:p>
    <w:p w:rsidR="000A7FF5" w:rsidRPr="000A7FF5" w:rsidRDefault="00B10032" w:rsidP="000A7FF5">
      <w:pPr>
        <w:rPr>
          <w:rFonts w:ascii="Verdana" w:eastAsia="Times New Roman" w:hAnsi="Verdana"/>
          <w:color w:val="000000"/>
          <w:sz w:val="20"/>
          <w:szCs w:val="20"/>
        </w:rPr>
      </w:pPr>
      <w:hyperlink r:id="rId10" w:history="1">
        <w:r w:rsidR="000A7FF5" w:rsidRPr="000A7FF5">
          <w:rPr>
            <w:rFonts w:ascii="Verdana" w:eastAsia="Times New Roman" w:hAnsi="Verdana"/>
            <w:b/>
            <w:bCs/>
            <w:color w:val="718BAD"/>
            <w:sz w:val="20"/>
            <w:szCs w:val="20"/>
            <w:u w:val="single"/>
          </w:rPr>
          <w:t>Peter Doyle</w:t>
        </w:r>
      </w:hyperlink>
      <w:r w:rsidR="000A7FF5" w:rsidRPr="000A7FF5">
        <w:rPr>
          <w:rFonts w:ascii="Verdana" w:eastAsia="Times New Roman" w:hAnsi="Verdana"/>
          <w:color w:val="000000"/>
          <w:sz w:val="20"/>
          <w:szCs w:val="20"/>
        </w:rPr>
        <w:t>, Chair, Professionalism Committee, International Actuarial Association</w:t>
      </w:r>
    </w:p>
    <w:p w:rsidR="000A7FF5" w:rsidRPr="000A7FF5" w:rsidRDefault="000A7FF5" w:rsidP="000A7FF5">
      <w:pPr>
        <w:rPr>
          <w:rFonts w:ascii="Verdana" w:eastAsia="Times New Roman" w:hAnsi="Verdana"/>
          <w:color w:val="000000"/>
          <w:sz w:val="20"/>
          <w:szCs w:val="20"/>
        </w:rPr>
      </w:pPr>
    </w:p>
    <w:p w:rsidR="000A7FF5" w:rsidRPr="000A7FF5" w:rsidRDefault="000A7FF5" w:rsidP="000A7FF5">
      <w:pPr>
        <w:rPr>
          <w:rFonts w:ascii="Verdana" w:eastAsia="Times New Roman" w:hAnsi="Verdana"/>
          <w:b/>
          <w:bCs/>
          <w:color w:val="000000"/>
          <w:sz w:val="20"/>
          <w:szCs w:val="20"/>
        </w:rPr>
      </w:pPr>
      <w:r w:rsidRPr="000A7FF5">
        <w:rPr>
          <w:rFonts w:ascii="Verdana" w:eastAsia="Times New Roman" w:hAnsi="Verdana"/>
          <w:b/>
          <w:bCs/>
          <w:color w:val="000000"/>
          <w:sz w:val="20"/>
          <w:szCs w:val="20"/>
        </w:rPr>
        <w:t>#2568: Meilander</w:t>
      </w:r>
    </w:p>
    <w:p w:rsidR="000A7FF5" w:rsidRPr="000A7FF5" w:rsidRDefault="00B10032" w:rsidP="000A7FF5">
      <w:pPr>
        <w:rPr>
          <w:rFonts w:ascii="Verdana" w:eastAsia="Times New Roman" w:hAnsi="Verdana"/>
          <w:color w:val="000000"/>
          <w:sz w:val="20"/>
          <w:szCs w:val="20"/>
        </w:rPr>
      </w:pPr>
      <w:hyperlink r:id="rId11" w:history="1">
        <w:r w:rsidR="000A7FF5" w:rsidRPr="000A7FF5">
          <w:rPr>
            <w:rFonts w:ascii="Verdana" w:eastAsia="Times New Roman" w:hAnsi="Verdana"/>
            <w:b/>
            <w:bCs/>
            <w:color w:val="718BAD"/>
            <w:sz w:val="20"/>
            <w:szCs w:val="20"/>
            <w:u w:val="single"/>
          </w:rPr>
          <w:t>Bob Meilander</w:t>
        </w:r>
      </w:hyperlink>
      <w:r w:rsidR="000A7FF5" w:rsidRPr="000A7FF5">
        <w:rPr>
          <w:rFonts w:ascii="Verdana" w:eastAsia="Times New Roman" w:hAnsi="Verdana"/>
          <w:color w:val="000000"/>
          <w:sz w:val="20"/>
          <w:szCs w:val="20"/>
        </w:rPr>
        <w:t>, Chair, Actuarial Standards Board (U.S.)</w:t>
      </w:r>
    </w:p>
    <w:p w:rsidR="000A7FF5" w:rsidRPr="000A7FF5" w:rsidRDefault="000A7FF5" w:rsidP="000A7FF5">
      <w:pPr>
        <w:rPr>
          <w:rFonts w:ascii="Verdana" w:eastAsia="Times New Roman" w:hAnsi="Verdana"/>
          <w:color w:val="000000"/>
          <w:sz w:val="20"/>
          <w:szCs w:val="20"/>
        </w:rPr>
      </w:pPr>
    </w:p>
    <w:p w:rsidR="000A7FF5" w:rsidRPr="000A7FF5" w:rsidRDefault="000A7FF5" w:rsidP="000A7FF5">
      <w:pPr>
        <w:rPr>
          <w:rFonts w:ascii="Verdana" w:eastAsia="Times New Roman" w:hAnsi="Verdana"/>
          <w:b/>
          <w:bCs/>
          <w:color w:val="000000"/>
          <w:sz w:val="20"/>
          <w:szCs w:val="20"/>
        </w:rPr>
      </w:pPr>
      <w:r w:rsidRPr="000A7FF5">
        <w:rPr>
          <w:rFonts w:ascii="Verdana" w:eastAsia="Times New Roman" w:hAnsi="Verdana"/>
          <w:b/>
          <w:bCs/>
          <w:color w:val="000000"/>
          <w:sz w:val="20"/>
          <w:szCs w:val="20"/>
        </w:rPr>
        <w:t>#2733: Pelletier</w:t>
      </w:r>
    </w:p>
    <w:p w:rsidR="000A7FF5" w:rsidRPr="000A7FF5" w:rsidRDefault="00B10032" w:rsidP="000A7FF5">
      <w:pPr>
        <w:rPr>
          <w:rFonts w:ascii="Verdana" w:eastAsia="Times New Roman" w:hAnsi="Verdana"/>
          <w:color w:val="000000"/>
          <w:sz w:val="20"/>
          <w:szCs w:val="20"/>
        </w:rPr>
      </w:pPr>
      <w:hyperlink r:id="rId12" w:history="1">
        <w:r w:rsidR="000A7FF5" w:rsidRPr="000A7FF5">
          <w:rPr>
            <w:rFonts w:ascii="Verdana" w:eastAsia="Times New Roman" w:hAnsi="Verdana"/>
            <w:b/>
            <w:bCs/>
            <w:color w:val="718BAD"/>
            <w:sz w:val="20"/>
            <w:szCs w:val="20"/>
            <w:u w:val="single"/>
          </w:rPr>
          <w:t>Dave Pelletier</w:t>
        </w:r>
      </w:hyperlink>
      <w:r w:rsidR="000A7FF5" w:rsidRPr="000A7FF5">
        <w:rPr>
          <w:rFonts w:ascii="Verdana" w:eastAsia="Times New Roman" w:hAnsi="Verdana"/>
          <w:color w:val="000000"/>
          <w:sz w:val="20"/>
          <w:szCs w:val="20"/>
        </w:rPr>
        <w:t>, Chair, ASC, International Actuarial Association</w:t>
      </w:r>
    </w:p>
    <w:p w:rsidR="000A7FF5" w:rsidRPr="000A7FF5" w:rsidRDefault="000A7FF5" w:rsidP="000A7FF5">
      <w:pPr>
        <w:rPr>
          <w:rFonts w:ascii="Calibri" w:eastAsia="Times New Roman" w:hAnsi="Calibri"/>
          <w:sz w:val="22"/>
          <w:szCs w:val="22"/>
        </w:rPr>
      </w:pPr>
    </w:p>
    <w:sectPr w:rsidR="000A7FF5" w:rsidRPr="000A7FF5" w:rsidSect="005F2B63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0032" w:rsidRDefault="00B10032" w:rsidP="00BA30FF">
      <w:r>
        <w:separator/>
      </w:r>
    </w:p>
  </w:endnote>
  <w:endnote w:type="continuationSeparator" w:id="0">
    <w:p w:rsidR="00B10032" w:rsidRDefault="00B10032" w:rsidP="00BA30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6328" w:rsidRDefault="002B632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6328" w:rsidRDefault="002B632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6328" w:rsidRDefault="002B632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0032" w:rsidRDefault="00B10032" w:rsidP="00BA30FF">
      <w:r>
        <w:separator/>
      </w:r>
    </w:p>
  </w:footnote>
  <w:footnote w:type="continuationSeparator" w:id="0">
    <w:p w:rsidR="00B10032" w:rsidRDefault="00B10032" w:rsidP="00BA30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6328" w:rsidRDefault="002B632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30FF" w:rsidRDefault="002B6328">
    <w:pPr>
      <w:pStyle w:val="Header"/>
    </w:pPr>
    <w:r>
      <w:t>Draft 2013.10.2</w:t>
    </w:r>
    <w:r w:rsidR="00BA30FF">
      <w:t>7</w:t>
    </w:r>
  </w:p>
  <w:p w:rsidR="00BA30FF" w:rsidRDefault="00BA30F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6328" w:rsidRDefault="002B632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C4618D"/>
    <w:multiLevelType w:val="multilevel"/>
    <w:tmpl w:val="304C3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276DA9"/>
    <w:multiLevelType w:val="hybridMultilevel"/>
    <w:tmpl w:val="5A8879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2C3451B"/>
    <w:multiLevelType w:val="hybridMultilevel"/>
    <w:tmpl w:val="C1B25A2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A6B7CE8"/>
    <w:multiLevelType w:val="hybridMultilevel"/>
    <w:tmpl w:val="6A2819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9306D1C"/>
    <w:multiLevelType w:val="hybridMultilevel"/>
    <w:tmpl w:val="FA10C2BA"/>
    <w:lvl w:ilvl="0" w:tplc="0C0698F2">
      <w:numFmt w:val="bullet"/>
      <w:lvlText w:val=""/>
      <w:lvlJc w:val="left"/>
      <w:pPr>
        <w:ind w:left="60" w:hanging="42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5">
    <w:nsid w:val="55A865C3"/>
    <w:multiLevelType w:val="hybridMultilevel"/>
    <w:tmpl w:val="4EEAF8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93C297F"/>
    <w:multiLevelType w:val="hybridMultilevel"/>
    <w:tmpl w:val="35C42F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ABF1FD2"/>
    <w:multiLevelType w:val="hybridMultilevel"/>
    <w:tmpl w:val="E56A93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6"/>
  </w:num>
  <w:num w:numId="5">
    <w:abstractNumId w:val="2"/>
  </w:num>
  <w:num w:numId="6">
    <w:abstractNumId w:val="5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296"/>
    <w:rsid w:val="0000345B"/>
    <w:rsid w:val="000129E0"/>
    <w:rsid w:val="00013D07"/>
    <w:rsid w:val="00020BC0"/>
    <w:rsid w:val="00025E2D"/>
    <w:rsid w:val="00047A47"/>
    <w:rsid w:val="000519F0"/>
    <w:rsid w:val="00052DDF"/>
    <w:rsid w:val="000568AE"/>
    <w:rsid w:val="00063E3C"/>
    <w:rsid w:val="000678A1"/>
    <w:rsid w:val="00076F29"/>
    <w:rsid w:val="0008121E"/>
    <w:rsid w:val="00083D52"/>
    <w:rsid w:val="00092898"/>
    <w:rsid w:val="00096D5E"/>
    <w:rsid w:val="00097DAB"/>
    <w:rsid w:val="000A03EF"/>
    <w:rsid w:val="000A16C8"/>
    <w:rsid w:val="000A2FC2"/>
    <w:rsid w:val="000A7FF5"/>
    <w:rsid w:val="000B01F1"/>
    <w:rsid w:val="000B150D"/>
    <w:rsid w:val="000C09D4"/>
    <w:rsid w:val="000C3758"/>
    <w:rsid w:val="000C380C"/>
    <w:rsid w:val="000D1F90"/>
    <w:rsid w:val="000D45B2"/>
    <w:rsid w:val="000E0D9C"/>
    <w:rsid w:val="000F62FC"/>
    <w:rsid w:val="001000ED"/>
    <w:rsid w:val="0011688E"/>
    <w:rsid w:val="0013303D"/>
    <w:rsid w:val="00133784"/>
    <w:rsid w:val="00136A56"/>
    <w:rsid w:val="00137A72"/>
    <w:rsid w:val="00140E70"/>
    <w:rsid w:val="00141396"/>
    <w:rsid w:val="001413AA"/>
    <w:rsid w:val="00144E36"/>
    <w:rsid w:val="00150D28"/>
    <w:rsid w:val="001552C7"/>
    <w:rsid w:val="00157192"/>
    <w:rsid w:val="00164678"/>
    <w:rsid w:val="00164E36"/>
    <w:rsid w:val="00181159"/>
    <w:rsid w:val="00183E89"/>
    <w:rsid w:val="00190A48"/>
    <w:rsid w:val="00193AEE"/>
    <w:rsid w:val="00194522"/>
    <w:rsid w:val="001A3085"/>
    <w:rsid w:val="001A455B"/>
    <w:rsid w:val="001B5445"/>
    <w:rsid w:val="001C52DF"/>
    <w:rsid w:val="001C7619"/>
    <w:rsid w:val="001D3ACF"/>
    <w:rsid w:val="001D5A36"/>
    <w:rsid w:val="001E0B40"/>
    <w:rsid w:val="001E0C03"/>
    <w:rsid w:val="001E5EF8"/>
    <w:rsid w:val="002059BB"/>
    <w:rsid w:val="002105CD"/>
    <w:rsid w:val="00213EB1"/>
    <w:rsid w:val="002146C4"/>
    <w:rsid w:val="002267A1"/>
    <w:rsid w:val="00235222"/>
    <w:rsid w:val="00236202"/>
    <w:rsid w:val="00245B58"/>
    <w:rsid w:val="00251729"/>
    <w:rsid w:val="0027038B"/>
    <w:rsid w:val="00270F39"/>
    <w:rsid w:val="00270F86"/>
    <w:rsid w:val="00271D44"/>
    <w:rsid w:val="00275976"/>
    <w:rsid w:val="00286D88"/>
    <w:rsid w:val="002909DE"/>
    <w:rsid w:val="0029657A"/>
    <w:rsid w:val="00296A58"/>
    <w:rsid w:val="00297D03"/>
    <w:rsid w:val="002A1B51"/>
    <w:rsid w:val="002A4042"/>
    <w:rsid w:val="002B06B2"/>
    <w:rsid w:val="002B6328"/>
    <w:rsid w:val="002C70B5"/>
    <w:rsid w:val="002D1374"/>
    <w:rsid w:val="002D6AD5"/>
    <w:rsid w:val="002F282E"/>
    <w:rsid w:val="00300626"/>
    <w:rsid w:val="00304114"/>
    <w:rsid w:val="00306089"/>
    <w:rsid w:val="0031036D"/>
    <w:rsid w:val="00326DC7"/>
    <w:rsid w:val="003303E8"/>
    <w:rsid w:val="003352A7"/>
    <w:rsid w:val="003601E8"/>
    <w:rsid w:val="00361646"/>
    <w:rsid w:val="003620A0"/>
    <w:rsid w:val="00364D01"/>
    <w:rsid w:val="003A52FC"/>
    <w:rsid w:val="003B1994"/>
    <w:rsid w:val="003C73E8"/>
    <w:rsid w:val="003D77C6"/>
    <w:rsid w:val="003E4752"/>
    <w:rsid w:val="003F0524"/>
    <w:rsid w:val="003F27B1"/>
    <w:rsid w:val="00413C0C"/>
    <w:rsid w:val="00420738"/>
    <w:rsid w:val="00421FC6"/>
    <w:rsid w:val="00426A36"/>
    <w:rsid w:val="00427616"/>
    <w:rsid w:val="004333DB"/>
    <w:rsid w:val="00437BAE"/>
    <w:rsid w:val="00440B38"/>
    <w:rsid w:val="004436D6"/>
    <w:rsid w:val="004533D7"/>
    <w:rsid w:val="00457B62"/>
    <w:rsid w:val="00460645"/>
    <w:rsid w:val="00462A41"/>
    <w:rsid w:val="004737B2"/>
    <w:rsid w:val="00485CB4"/>
    <w:rsid w:val="004918F9"/>
    <w:rsid w:val="0049343D"/>
    <w:rsid w:val="004975E5"/>
    <w:rsid w:val="004C7A3C"/>
    <w:rsid w:val="004C7C7F"/>
    <w:rsid w:val="004E46A1"/>
    <w:rsid w:val="004E77ED"/>
    <w:rsid w:val="004F6DC4"/>
    <w:rsid w:val="004F72BA"/>
    <w:rsid w:val="00506FEC"/>
    <w:rsid w:val="00507144"/>
    <w:rsid w:val="00510DB0"/>
    <w:rsid w:val="005254AA"/>
    <w:rsid w:val="0052700D"/>
    <w:rsid w:val="00527718"/>
    <w:rsid w:val="00544706"/>
    <w:rsid w:val="00547E68"/>
    <w:rsid w:val="00550013"/>
    <w:rsid w:val="005505C4"/>
    <w:rsid w:val="0055728E"/>
    <w:rsid w:val="00557F33"/>
    <w:rsid w:val="00566892"/>
    <w:rsid w:val="005720A3"/>
    <w:rsid w:val="0058224F"/>
    <w:rsid w:val="00585513"/>
    <w:rsid w:val="00590480"/>
    <w:rsid w:val="00590DEB"/>
    <w:rsid w:val="00591296"/>
    <w:rsid w:val="005A02FF"/>
    <w:rsid w:val="005A3674"/>
    <w:rsid w:val="005B214C"/>
    <w:rsid w:val="005B5A40"/>
    <w:rsid w:val="005B72E5"/>
    <w:rsid w:val="005C6FA6"/>
    <w:rsid w:val="005C739D"/>
    <w:rsid w:val="005D2E74"/>
    <w:rsid w:val="005E7ECD"/>
    <w:rsid w:val="005F2B63"/>
    <w:rsid w:val="005F767C"/>
    <w:rsid w:val="00603E64"/>
    <w:rsid w:val="0060517C"/>
    <w:rsid w:val="00613697"/>
    <w:rsid w:val="006152AF"/>
    <w:rsid w:val="00624B8E"/>
    <w:rsid w:val="00631652"/>
    <w:rsid w:val="006361A2"/>
    <w:rsid w:val="00636D2B"/>
    <w:rsid w:val="00637CD9"/>
    <w:rsid w:val="006472D5"/>
    <w:rsid w:val="00656E75"/>
    <w:rsid w:val="00657AB2"/>
    <w:rsid w:val="00661E62"/>
    <w:rsid w:val="00665ABD"/>
    <w:rsid w:val="00670186"/>
    <w:rsid w:val="0067430E"/>
    <w:rsid w:val="00675ACB"/>
    <w:rsid w:val="006842A1"/>
    <w:rsid w:val="00693BEA"/>
    <w:rsid w:val="00696DBB"/>
    <w:rsid w:val="006A5C86"/>
    <w:rsid w:val="006B2BE6"/>
    <w:rsid w:val="006C26D1"/>
    <w:rsid w:val="006C440E"/>
    <w:rsid w:val="006D2E5A"/>
    <w:rsid w:val="006E7132"/>
    <w:rsid w:val="006E73C4"/>
    <w:rsid w:val="006F2784"/>
    <w:rsid w:val="00700035"/>
    <w:rsid w:val="00706F83"/>
    <w:rsid w:val="00710000"/>
    <w:rsid w:val="0071375B"/>
    <w:rsid w:val="00713BC7"/>
    <w:rsid w:val="00715A9B"/>
    <w:rsid w:val="007243B5"/>
    <w:rsid w:val="00724FC6"/>
    <w:rsid w:val="00737AE2"/>
    <w:rsid w:val="00743A71"/>
    <w:rsid w:val="00746BC3"/>
    <w:rsid w:val="0074701A"/>
    <w:rsid w:val="0075207F"/>
    <w:rsid w:val="007520B4"/>
    <w:rsid w:val="00752527"/>
    <w:rsid w:val="00752765"/>
    <w:rsid w:val="0075537F"/>
    <w:rsid w:val="00761D7E"/>
    <w:rsid w:val="00767082"/>
    <w:rsid w:val="00772DB1"/>
    <w:rsid w:val="00777A5B"/>
    <w:rsid w:val="0078354D"/>
    <w:rsid w:val="007A1CFF"/>
    <w:rsid w:val="007A2D20"/>
    <w:rsid w:val="007F5488"/>
    <w:rsid w:val="008055F4"/>
    <w:rsid w:val="00816D2B"/>
    <w:rsid w:val="00817B75"/>
    <w:rsid w:val="008218EF"/>
    <w:rsid w:val="00821946"/>
    <w:rsid w:val="00830CDD"/>
    <w:rsid w:val="00837DC4"/>
    <w:rsid w:val="008435B0"/>
    <w:rsid w:val="00845DC5"/>
    <w:rsid w:val="008625AF"/>
    <w:rsid w:val="0087475F"/>
    <w:rsid w:val="00883129"/>
    <w:rsid w:val="00884065"/>
    <w:rsid w:val="00895A2F"/>
    <w:rsid w:val="008A0FBB"/>
    <w:rsid w:val="008A1D1A"/>
    <w:rsid w:val="008A6196"/>
    <w:rsid w:val="008B0803"/>
    <w:rsid w:val="008C0470"/>
    <w:rsid w:val="008C0CAE"/>
    <w:rsid w:val="008C2E38"/>
    <w:rsid w:val="008D10DA"/>
    <w:rsid w:val="008E18AF"/>
    <w:rsid w:val="008E201C"/>
    <w:rsid w:val="00910E90"/>
    <w:rsid w:val="009162BC"/>
    <w:rsid w:val="00927578"/>
    <w:rsid w:val="00930956"/>
    <w:rsid w:val="009554E0"/>
    <w:rsid w:val="00973134"/>
    <w:rsid w:val="009766BA"/>
    <w:rsid w:val="00983587"/>
    <w:rsid w:val="0098597D"/>
    <w:rsid w:val="00990E5D"/>
    <w:rsid w:val="009922C4"/>
    <w:rsid w:val="009954EE"/>
    <w:rsid w:val="009A0786"/>
    <w:rsid w:val="009A1663"/>
    <w:rsid w:val="009D4DEE"/>
    <w:rsid w:val="009D766D"/>
    <w:rsid w:val="009E2530"/>
    <w:rsid w:val="009E354B"/>
    <w:rsid w:val="009E410D"/>
    <w:rsid w:val="009F011E"/>
    <w:rsid w:val="009F3309"/>
    <w:rsid w:val="009F404F"/>
    <w:rsid w:val="009F4F90"/>
    <w:rsid w:val="009F57D1"/>
    <w:rsid w:val="00A17E8A"/>
    <w:rsid w:val="00A22A56"/>
    <w:rsid w:val="00A24556"/>
    <w:rsid w:val="00A339B1"/>
    <w:rsid w:val="00A3566D"/>
    <w:rsid w:val="00A50E72"/>
    <w:rsid w:val="00A55CDB"/>
    <w:rsid w:val="00A626A2"/>
    <w:rsid w:val="00A6429C"/>
    <w:rsid w:val="00A6491E"/>
    <w:rsid w:val="00A720EE"/>
    <w:rsid w:val="00A75129"/>
    <w:rsid w:val="00A7763D"/>
    <w:rsid w:val="00A77973"/>
    <w:rsid w:val="00A77A6A"/>
    <w:rsid w:val="00A8005B"/>
    <w:rsid w:val="00A814AA"/>
    <w:rsid w:val="00A84863"/>
    <w:rsid w:val="00A87F5A"/>
    <w:rsid w:val="00AA6713"/>
    <w:rsid w:val="00AA6C2C"/>
    <w:rsid w:val="00AB2DFD"/>
    <w:rsid w:val="00AC00FB"/>
    <w:rsid w:val="00AC1224"/>
    <w:rsid w:val="00AD2124"/>
    <w:rsid w:val="00AD2265"/>
    <w:rsid w:val="00AD7144"/>
    <w:rsid w:val="00AE3FA9"/>
    <w:rsid w:val="00AF04B4"/>
    <w:rsid w:val="00AF75CF"/>
    <w:rsid w:val="00B00CB6"/>
    <w:rsid w:val="00B022AB"/>
    <w:rsid w:val="00B03D16"/>
    <w:rsid w:val="00B0408C"/>
    <w:rsid w:val="00B10032"/>
    <w:rsid w:val="00B12EE1"/>
    <w:rsid w:val="00B14524"/>
    <w:rsid w:val="00B2055F"/>
    <w:rsid w:val="00B317C9"/>
    <w:rsid w:val="00B3194E"/>
    <w:rsid w:val="00B323A4"/>
    <w:rsid w:val="00B413F1"/>
    <w:rsid w:val="00B437EA"/>
    <w:rsid w:val="00B52097"/>
    <w:rsid w:val="00B530F9"/>
    <w:rsid w:val="00B55B09"/>
    <w:rsid w:val="00B71D2C"/>
    <w:rsid w:val="00B76E78"/>
    <w:rsid w:val="00B8576D"/>
    <w:rsid w:val="00B87A96"/>
    <w:rsid w:val="00B90481"/>
    <w:rsid w:val="00BA0E34"/>
    <w:rsid w:val="00BA30FF"/>
    <w:rsid w:val="00BA6061"/>
    <w:rsid w:val="00BA7005"/>
    <w:rsid w:val="00BB4626"/>
    <w:rsid w:val="00BC6D10"/>
    <w:rsid w:val="00BC7E84"/>
    <w:rsid w:val="00BD3AE6"/>
    <w:rsid w:val="00BF0502"/>
    <w:rsid w:val="00BF2B75"/>
    <w:rsid w:val="00C03AF2"/>
    <w:rsid w:val="00C0416C"/>
    <w:rsid w:val="00C06BD4"/>
    <w:rsid w:val="00C140A4"/>
    <w:rsid w:val="00C20EB0"/>
    <w:rsid w:val="00C22010"/>
    <w:rsid w:val="00C5665C"/>
    <w:rsid w:val="00C5777D"/>
    <w:rsid w:val="00C609F2"/>
    <w:rsid w:val="00C6518D"/>
    <w:rsid w:val="00C65384"/>
    <w:rsid w:val="00C65556"/>
    <w:rsid w:val="00C66957"/>
    <w:rsid w:val="00C771DD"/>
    <w:rsid w:val="00C92B89"/>
    <w:rsid w:val="00CA0065"/>
    <w:rsid w:val="00CC172A"/>
    <w:rsid w:val="00CC23A2"/>
    <w:rsid w:val="00CC4A4C"/>
    <w:rsid w:val="00CE0D34"/>
    <w:rsid w:val="00CE364B"/>
    <w:rsid w:val="00CE390F"/>
    <w:rsid w:val="00CE6A92"/>
    <w:rsid w:val="00CF0919"/>
    <w:rsid w:val="00CF2F7B"/>
    <w:rsid w:val="00CF79EC"/>
    <w:rsid w:val="00D07524"/>
    <w:rsid w:val="00D11BFD"/>
    <w:rsid w:val="00D21A09"/>
    <w:rsid w:val="00D371E2"/>
    <w:rsid w:val="00D429E2"/>
    <w:rsid w:val="00D529A1"/>
    <w:rsid w:val="00D54B0B"/>
    <w:rsid w:val="00D56297"/>
    <w:rsid w:val="00D737FB"/>
    <w:rsid w:val="00DB5CF7"/>
    <w:rsid w:val="00DB6BC3"/>
    <w:rsid w:val="00DC0E4A"/>
    <w:rsid w:val="00DC1946"/>
    <w:rsid w:val="00DD2019"/>
    <w:rsid w:val="00DE5A83"/>
    <w:rsid w:val="00DE7786"/>
    <w:rsid w:val="00DE799D"/>
    <w:rsid w:val="00DF0193"/>
    <w:rsid w:val="00E0083B"/>
    <w:rsid w:val="00E04899"/>
    <w:rsid w:val="00E06153"/>
    <w:rsid w:val="00E06F9A"/>
    <w:rsid w:val="00E07CB0"/>
    <w:rsid w:val="00E101A1"/>
    <w:rsid w:val="00E11B4A"/>
    <w:rsid w:val="00E219A9"/>
    <w:rsid w:val="00E22AF9"/>
    <w:rsid w:val="00E22D41"/>
    <w:rsid w:val="00E251B6"/>
    <w:rsid w:val="00E45F37"/>
    <w:rsid w:val="00E5017C"/>
    <w:rsid w:val="00E62CB1"/>
    <w:rsid w:val="00E76CD4"/>
    <w:rsid w:val="00E86E81"/>
    <w:rsid w:val="00EA01BA"/>
    <w:rsid w:val="00EA0772"/>
    <w:rsid w:val="00EA269E"/>
    <w:rsid w:val="00EA2727"/>
    <w:rsid w:val="00EA2751"/>
    <w:rsid w:val="00EA2E10"/>
    <w:rsid w:val="00EA2E85"/>
    <w:rsid w:val="00EA3597"/>
    <w:rsid w:val="00EA631B"/>
    <w:rsid w:val="00EA65A6"/>
    <w:rsid w:val="00EB04F1"/>
    <w:rsid w:val="00EC2A10"/>
    <w:rsid w:val="00EC51D9"/>
    <w:rsid w:val="00EC6561"/>
    <w:rsid w:val="00ED150A"/>
    <w:rsid w:val="00EE05F2"/>
    <w:rsid w:val="00EF063D"/>
    <w:rsid w:val="00EF7D17"/>
    <w:rsid w:val="00F108CD"/>
    <w:rsid w:val="00F1620E"/>
    <w:rsid w:val="00F179CC"/>
    <w:rsid w:val="00F27B7F"/>
    <w:rsid w:val="00F34599"/>
    <w:rsid w:val="00F360B0"/>
    <w:rsid w:val="00F420EA"/>
    <w:rsid w:val="00F4285A"/>
    <w:rsid w:val="00F429AC"/>
    <w:rsid w:val="00F613CE"/>
    <w:rsid w:val="00F65BDF"/>
    <w:rsid w:val="00F81F01"/>
    <w:rsid w:val="00FA2731"/>
    <w:rsid w:val="00FB6302"/>
    <w:rsid w:val="00FD16B5"/>
    <w:rsid w:val="00FE6ACA"/>
    <w:rsid w:val="00FF0B18"/>
    <w:rsid w:val="00FF1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1296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591296"/>
  </w:style>
  <w:style w:type="paragraph" w:styleId="ListParagraph">
    <w:name w:val="List Paragraph"/>
    <w:basedOn w:val="Normal"/>
    <w:uiPriority w:val="34"/>
    <w:qFormat/>
    <w:rsid w:val="00591296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FA2731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FA2731"/>
    <w:pPr>
      <w:spacing w:before="100" w:beforeAutospacing="1" w:after="100" w:afterAutospacing="1"/>
    </w:pPr>
  </w:style>
  <w:style w:type="character" w:styleId="FollowedHyperlink">
    <w:name w:val="FollowedHyperlink"/>
    <w:basedOn w:val="DefaultParagraphFont"/>
    <w:uiPriority w:val="99"/>
    <w:semiHidden/>
    <w:unhideWhenUsed/>
    <w:rsid w:val="00F179CC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A30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30FF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A30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30FF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30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30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1296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591296"/>
  </w:style>
  <w:style w:type="paragraph" w:styleId="ListParagraph">
    <w:name w:val="List Paragraph"/>
    <w:basedOn w:val="Normal"/>
    <w:uiPriority w:val="34"/>
    <w:qFormat/>
    <w:rsid w:val="00591296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FA2731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FA2731"/>
    <w:pPr>
      <w:spacing w:before="100" w:beforeAutospacing="1" w:after="100" w:afterAutospacing="1"/>
    </w:pPr>
  </w:style>
  <w:style w:type="character" w:styleId="FollowedHyperlink">
    <w:name w:val="FollowedHyperlink"/>
    <w:basedOn w:val="DefaultParagraphFont"/>
    <w:uiPriority w:val="99"/>
    <w:semiHidden/>
    <w:unhideWhenUsed/>
    <w:rsid w:val="00F179CC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A30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30FF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A30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30FF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30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30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10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773094">
          <w:marLeft w:val="-75"/>
          <w:marRight w:val="-75"/>
          <w:marTop w:val="0"/>
          <w:marBottom w:val="0"/>
          <w:divBdr>
            <w:top w:val="single" w:sz="24" w:space="4" w:color="A9D9BB"/>
            <w:left w:val="none" w:sz="0" w:space="0" w:color="auto"/>
            <w:bottom w:val="single" w:sz="6" w:space="4" w:color="CCCCCC"/>
            <w:right w:val="none" w:sz="0" w:space="0" w:color="auto"/>
          </w:divBdr>
        </w:div>
        <w:div w:id="153730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290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731172">
              <w:marLeft w:val="0"/>
              <w:marRight w:val="0"/>
              <w:marTop w:val="0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837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200988">
              <w:marLeft w:val="0"/>
              <w:marRight w:val="0"/>
              <w:marTop w:val="0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98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171387">
              <w:marLeft w:val="0"/>
              <w:marRight w:val="0"/>
              <w:marTop w:val="0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955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360601">
              <w:marLeft w:val="0"/>
              <w:marRight w:val="0"/>
              <w:marTop w:val="0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010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459001">
              <w:marLeft w:val="0"/>
              <w:marRight w:val="0"/>
              <w:marTop w:val="0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806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8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385565">
          <w:marLeft w:val="0"/>
          <w:marRight w:val="0"/>
          <w:marTop w:val="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11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4640549">
          <w:marLeft w:val="0"/>
          <w:marRight w:val="0"/>
          <w:marTop w:val="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62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531481">
          <w:marLeft w:val="0"/>
          <w:marRight w:val="0"/>
          <w:marTop w:val="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823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078357">
          <w:marLeft w:val="0"/>
          <w:marRight w:val="0"/>
          <w:marTop w:val="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204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615218">
          <w:marLeft w:val="0"/>
          <w:marRight w:val="0"/>
          <w:marTop w:val="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10185">
          <w:marLeft w:val="0"/>
          <w:marRight w:val="0"/>
          <w:marTop w:val="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29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141518">
          <w:marLeft w:val="0"/>
          <w:marRight w:val="0"/>
          <w:marTop w:val="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263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135537">
          <w:marLeft w:val="0"/>
          <w:marRight w:val="0"/>
          <w:marTop w:val="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41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ris@daykinactuary.co.uk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dave@davep.ca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bgmeilander@gmail.co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pdoyle@mweb.co.za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neil@dingwall.com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414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Dave Pelletier</dc:creator>
  <cp:lastModifiedBy>Dave Pelletier</cp:lastModifiedBy>
  <cp:revision>2</cp:revision>
  <dcterms:created xsi:type="dcterms:W3CDTF">2013-10-27T21:58:00Z</dcterms:created>
  <dcterms:modified xsi:type="dcterms:W3CDTF">2013-10-27T21:58:00Z</dcterms:modified>
</cp:coreProperties>
</file>